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附件1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ascii="方正小标宋简体" w:hAnsi="仿宋" w:eastAsia="方正小标宋简体" w:cs="仿宋_GB2312"/>
          <w:bCs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ascii="方正小标宋简体" w:hAnsi="仿宋" w:eastAsia="方正小标宋简体" w:cs="仿宋_GB2312"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bCs/>
          <w:color w:val="auto"/>
          <w:sz w:val="44"/>
          <w:szCs w:val="44"/>
        </w:rPr>
        <w:t>20</w:t>
      </w:r>
      <w:r>
        <w:rPr>
          <w:rFonts w:hint="eastAsia" w:ascii="方正小标宋简体" w:hAnsi="仿宋" w:eastAsia="方正小标宋简体" w:cs="仿宋_GB2312"/>
          <w:bCs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仿宋_GB2312"/>
          <w:bCs/>
          <w:color w:val="auto"/>
          <w:sz w:val="44"/>
          <w:szCs w:val="44"/>
        </w:rPr>
        <w:t xml:space="preserve">年深圳市中小企业公共服务示范平台认定申请指南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0" w:firstLineChars="150"/>
        <w:jc w:val="both"/>
        <w:textAlignment w:val="auto"/>
        <w:rPr>
          <w:rFonts w:ascii="黑体" w:hAnsi="黑体" w:eastAsia="黑体" w:cs="Calibri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一、申报对象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为中小微企业提供公共信息、技术支撑、信息化应用、创业创新帮扶、人才培训、融资等公共服务，管理规范、业绩突出、公信度高、服务面广，具有示范带动作用的服务平台。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eastAsia="zh-CN"/>
        </w:rPr>
        <w:t>优先支持促进中小企业国际化交流合作的服务机构，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优先支持为中小企业提供现代物流供应链服务的机构，优先支持为中小企业提供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云计算、大数据、人工智能等数字化服务的机构。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二、认定依据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（一）《中华人民共和国中小企业促进法</w:t>
      </w:r>
      <w:r>
        <w:rPr>
          <w:rFonts w:hint="eastAsia" w:ascii="仿宋_GB2312" w:hAnsi="΢���ź�" w:eastAsia="仿宋_GB2312"/>
          <w:bCs/>
          <w:color w:val="auto"/>
          <w:sz w:val="32"/>
          <w:szCs w:val="32"/>
          <w:shd w:val="clear" w:color="auto" w:fill="FFFFFF"/>
        </w:rPr>
        <w:t>(2017年9月1日修订)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（二）《国家中小企业公共服务示范平台认定管理办法》（工信部企业〔2017〕156号）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Ansi="Verdana"/>
          <w:bCs/>
          <w:color w:val="auto"/>
        </w:rPr>
      </w:pPr>
      <w:r>
        <w:rPr>
          <w:rFonts w:hint="eastAsia" w:hAnsi="黑体" w:cs="Calibri"/>
          <w:color w:val="auto"/>
        </w:rPr>
        <w:t>（三）</w:t>
      </w:r>
      <w:r>
        <w:rPr>
          <w:rStyle w:val="8"/>
          <w:rFonts w:hint="eastAsia" w:hAnsi="Verdana"/>
          <w:b w:val="0"/>
          <w:color w:val="auto"/>
        </w:rPr>
        <w:t>《深圳市中小企业公共服务示范平台认定管理办法》</w:t>
      </w:r>
      <w:r>
        <w:rPr>
          <w:rStyle w:val="8"/>
          <w:rFonts w:hint="eastAsia" w:hAnsi="Verdana"/>
          <w:b w:val="0"/>
          <w:color w:val="auto"/>
          <w:lang w:eastAsia="zh-CN"/>
        </w:rPr>
        <w:t>（</w:t>
      </w:r>
      <w:r>
        <w:rPr>
          <w:rFonts w:hint="eastAsia"/>
          <w:color w:val="auto"/>
        </w:rPr>
        <w:t>深经贸信息规</w:t>
      </w:r>
      <w:r>
        <w:rPr>
          <w:rFonts w:hint="eastAsia" w:hAnsi="Calibri"/>
          <w:color w:val="auto"/>
        </w:rPr>
        <w:t>〔2018〕3号</w:t>
      </w:r>
      <w:r>
        <w:rPr>
          <w:rStyle w:val="8"/>
          <w:rFonts w:hint="eastAsia" w:hAnsi="Verdana"/>
          <w:b w:val="0"/>
          <w:color w:val="auto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三、认定条件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（一）示范平台应当同时具备以下基本条件：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1.具有独立法人资格，在深圳市注册（</w:t>
      </w:r>
      <w:r>
        <w:rPr>
          <w:rFonts w:hint="eastAsia" w:ascii="仿宋_GB2312" w:hAnsi="Verdana" w:eastAsia="仿宋_GB2312"/>
          <w:color w:val="auto"/>
          <w:sz w:val="32"/>
          <w:szCs w:val="32"/>
          <w:lang w:eastAsia="zh-CN"/>
        </w:rPr>
        <w:t>或在</w:t>
      </w:r>
      <w:r>
        <w:rPr>
          <w:rFonts w:hint="eastAsia" w:ascii="仿宋_GB2312" w:hAnsi="Verdana" w:eastAsia="仿宋_GB2312"/>
          <w:color w:val="auto"/>
          <w:sz w:val="32"/>
          <w:szCs w:val="32"/>
        </w:rPr>
        <w:t>深汕特别合作区</w:t>
      </w:r>
      <w:r>
        <w:rPr>
          <w:rFonts w:hint="eastAsia" w:ascii="仿宋_GB2312" w:hAnsi="Verdana" w:eastAsia="仿宋_GB2312"/>
          <w:color w:val="auto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color w:val="auto"/>
          <w:sz w:val="32"/>
          <w:szCs w:val="32"/>
        </w:rPr>
        <w:t>）并运营两年以上，财务状况良好，上年末资产总额不低于300万元, 上年度服务收入不低于500万元。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2.服务业绩突出。近两年服务企业数量稳步增长，在专业服务领域或区域内有一定的声誉和品牌影响力；上年服务中小企业数量不少于150家，其中服务小型微型企业数量占比不低于60%，用户满意度85%以上。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3.有固定的经营服务场所和相应的服务设施；有组织带动社会服务资源的能力，集聚服务机构5家以上。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有健全的管理制度，规范的服务流程、合理的收费标准和完善的服务质量保证措施；对小型微型企业的服务收费要有相应的优惠规定，提供的公益性服务或低收费服务要不少于总服务量的20%；有明确的发展规划和年度服务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5.有健全的管理团队和人才队伍。主要负责人有丰富的实践经验和较高的管理水平；从事为中小企业服务的人员不少于20人，其中大专及以上学历和中级及以上技术职称专业人员的比例占85%以上。</w:t>
      </w:r>
      <w:r>
        <w:rPr>
          <w:rFonts w:hint="eastAsia" w:ascii="仿宋_GB2312" w:hAnsi="MS Mincho" w:eastAsia="MS Mincho" w:cs="MS Mincho"/>
          <w:color w:val="auto"/>
          <w:sz w:val="32"/>
          <w:szCs w:val="32"/>
        </w:rPr>
        <w:t>  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（二）示范平台除满足上述基本条件外，还应当符合以下至少一项功能要求：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1.综合信息服务。为中小微企业提供法律法规、政策、财税、质量、标准、人才、市场、物流、管理、国际化交流合作等公共信息服务。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充分利用信息网络技术手段，形成便于中小微企业查询的、开放的信息服务系统；具有功能较为完善的信息数据库、信息管理系统和开放的在线信息服务系统；具有在线服务、线上线下联动功能，线下服务企业数量500家以上；年组织开展的相关服务活动20次以上, 结合政府扶持政策，每年开展政策宣讲3次以上。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技术支撑服务。围绕我市重点产业，为中小微企业提供制造业升级、现代物流供应链服务、工业设计等生产性服务，提供解决方案、检验检测、质量控制和技术评价、技术开发、技术转移、设备共享、知识产权、品牌建设、产品创新、技术创新、创新资源共享、技术成果转化等技术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须具备相应的技术支撑服务的人员、硬件设施和服务能力；年开展技术服务活动10次以上。其中，工业设计服务申报单位，近两年需至少获得过一次国际性工业设计大奖，或至少有一位高级工业设计师；检验检测服务申报单位，需具有经认证的检验检测资质或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3.信息化应用服务。通过计算机软硬件技术运营支撑，为中小微企业实现信息化提供咨询、系统应用、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大数据、云计算、服务生态</w:t>
      </w:r>
      <w:r>
        <w:rPr>
          <w:rFonts w:hint="eastAsia" w:ascii="仿宋_GB2312" w:eastAsia="仿宋_GB2312"/>
          <w:color w:val="auto"/>
          <w:sz w:val="32"/>
          <w:szCs w:val="32"/>
        </w:rPr>
        <w:t>维护与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推广</w:t>
      </w:r>
      <w:r>
        <w:rPr>
          <w:rFonts w:hint="eastAsia" w:ascii="仿宋_GB2312" w:eastAsia="仿宋_GB2312"/>
          <w:color w:val="auto"/>
          <w:sz w:val="32"/>
          <w:szCs w:val="32"/>
        </w:rPr>
        <w:t>等信息应用服务。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服务目标明确，</w:t>
      </w:r>
      <w:r>
        <w:rPr>
          <w:rFonts w:hint="eastAsia" w:ascii="仿宋_GB2312" w:eastAsia="仿宋_GB2312"/>
          <w:color w:val="auto"/>
          <w:sz w:val="32"/>
          <w:szCs w:val="32"/>
        </w:rPr>
        <w:t>服务效果良好，在线客户累计200家以上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。在平台即服务（PaaS）方面，构建1个以上有效的中小企业服务场景，有与相应服务场景相匹配的基础环境、服务资源、服务手段、服务流程、服务生态和服务绩效评价制度。在软件即服务（SaaS）方面，在解决中小微企业各类痛点难点问题方面具有针对性，在平台对接、资源配置、场景适配、服务反馈、服务改善等方面有保障措施和成功案例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4.创业创新帮扶服务。为创业者、创办3年内的小企业提供创业辅导、项目策划、政务代理、投融资顾问等创业服务;为中小企业提供战略、人力资源、流程改造、营销与商业模式创新、创新管理等创新服务。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具有较强的创业创新辅导综合服务能力。建有创业创新项目库、创业创新指南、创业创新服务热线，或建有创业创新服务信息平台；有明确的服务宗旨和服务流程，年服务中小微企业或创业者150家（人）以上且成效显著，年开展各类创业创新帮扶活动（专项服务案例）8次以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5.人才培训服务。为中小微企业提供经营管理、市场营销、投融资、风险防范、技术和创业创新等领域培训服务。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具有线上和线下培训能力，有完善的培训服务评价机制，年培训2000人次以上，在实施市中小企业产业紧缺人才培训计划过程中成效突出者优先。提供职业资格、职业技能培训的，需取得相应的办学资质。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6.融资服务。为中小微企业提供投融资信息、融资撮合、融资担保等服务。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具备功能完善的投融资信息的收集、分析、评价和发布系统，具有开放的线上线下服务功能；年组织开展投融资对接、企业融资策划、推荐和融资代理等服务活动10次以上，帮助中小企业融资总额8亿元以上的服务机构，或持有有效的融资性担保机构经营许可证，资产总额不低于3亿元，年新增中小微企业融资担保额30亿元以上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四、申请认定材料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hAnsi="Verdana"/>
          <w:color w:val="auto"/>
        </w:rPr>
      </w:pPr>
      <w:r>
        <w:rPr>
          <w:rFonts w:hint="eastAsia" w:hAnsi="Verdana"/>
          <w:color w:val="auto"/>
        </w:rPr>
        <w:t>（一）</w:t>
      </w:r>
      <w:r>
        <w:rPr>
          <w:rFonts w:hint="eastAsia"/>
          <w:color w:val="auto"/>
        </w:rPr>
        <w:t>深圳市中小企业公共服务示范平台申请报告；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Verdana" w:eastAsia="仿宋_GB2312"/>
          <w:color w:val="auto"/>
          <w:sz w:val="32"/>
          <w:szCs w:val="32"/>
        </w:rPr>
      </w:pPr>
      <w:r>
        <w:rPr>
          <w:rFonts w:hint="eastAsia" w:hAnsi="Verdana"/>
          <w:color w:val="auto"/>
        </w:rPr>
        <w:t>（二）法人证书或</w:t>
      </w:r>
      <w:r>
        <w:rPr>
          <w:rFonts w:hint="eastAsia" w:cs="微软雅黑"/>
          <w:color w:val="auto"/>
          <w:spacing w:val="4"/>
          <w:kern w:val="0"/>
        </w:rPr>
        <w:t>企业工商营业执照、组织</w:t>
      </w:r>
      <w:r>
        <w:rPr>
          <w:rFonts w:hint="eastAsia" w:cs="微软雅黑"/>
          <w:color w:val="auto"/>
          <w:spacing w:val="4"/>
          <w:kern w:val="0"/>
          <w:lang w:eastAsia="zh-CN"/>
        </w:rPr>
        <w:t>机构</w:t>
      </w:r>
      <w:r>
        <w:rPr>
          <w:rFonts w:hint="eastAsia" w:cs="微软雅黑"/>
          <w:color w:val="auto"/>
          <w:spacing w:val="4"/>
          <w:kern w:val="0"/>
        </w:rPr>
        <w:t>代码证</w:t>
      </w:r>
      <w:r>
        <w:rPr>
          <w:rFonts w:hint="eastAsia" w:ascii="仿宋_GB2312" w:eastAsia="仿宋_GB2312" w:cs="微软雅黑"/>
          <w:color w:val="auto"/>
          <w:spacing w:val="4"/>
          <w:kern w:val="0"/>
          <w:sz w:val="32"/>
          <w:szCs w:val="32"/>
        </w:rPr>
        <w:t>复印件（营业执照印有“统一社会信用代码”的，可免交组织机构代码证）</w:t>
      </w:r>
      <w:r>
        <w:rPr>
          <w:rFonts w:hint="eastAsia" w:ascii="仿宋_GB2312" w:hAnsi="Verdana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Verdan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（三）上一年度审计报告及服务收支情况的专项审计报告，或上一年度包含服务收支情况的审计报告</w:t>
      </w:r>
      <w:r>
        <w:rPr>
          <w:rFonts w:hint="eastAsia" w:ascii="仿宋_GB2312" w:hAnsi="Verdan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/>
          <w:b/>
          <w:bCs/>
          <w:color w:val="auto"/>
          <w:sz w:val="32"/>
          <w:szCs w:val="32"/>
          <w:lang w:eastAsia="zh-CN"/>
        </w:rPr>
        <w:t>上市公司等按照法律法规要求不宜披露财务数据的，请提交情况说明）</w:t>
      </w:r>
      <w:r>
        <w:rPr>
          <w:rFonts w:hint="eastAsia" w:ascii="仿宋_GB2312" w:hAnsi="Verdana" w:eastAsia="仿宋_GB2312"/>
          <w:color w:val="auto"/>
          <w:sz w:val="32"/>
          <w:szCs w:val="32"/>
        </w:rPr>
        <w:t>；</w:t>
      </w:r>
      <w:r>
        <w:rPr>
          <w:rFonts w:hint="eastAsia" w:ascii="仿宋_GB2312" w:hAnsi="Verdana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（四）企业人员社保清单（社保局自助打印）及主要服务人员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学历证明；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（五）固定的经营服务场所证明复印件（房产证、租赁合同）；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ascii="仿宋_GB2312" w:hAnsi="Verdana" w:eastAsia="仿宋_GB2312"/>
          <w:color w:val="auto"/>
          <w:sz w:val="32"/>
          <w:szCs w:val="32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（六）组织带动社会服务资源的能力证明（合作协议）；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ascii="仿宋_GB2312" w:hAnsi="Verdana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（七）开展相关服务活动的证明材料</w:t>
      </w:r>
      <w:r>
        <w:rPr>
          <w:rFonts w:hint="eastAsia" w:ascii="仿宋_GB2312" w:hAnsi="Verdan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/>
          <w:color w:val="auto"/>
          <w:sz w:val="32"/>
          <w:szCs w:val="32"/>
        </w:rPr>
        <w:t>通知、照片</w:t>
      </w:r>
      <w:r>
        <w:rPr>
          <w:rFonts w:hint="eastAsia" w:ascii="仿宋_GB2312" w:hAnsi="Verdana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Verdana" w:eastAsia="仿宋_GB2312"/>
          <w:b/>
          <w:bCs/>
          <w:color w:val="auto"/>
          <w:sz w:val="32"/>
          <w:szCs w:val="32"/>
          <w:u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中小企业</w:t>
      </w:r>
      <w:r>
        <w:rPr>
          <w:rFonts w:hint="eastAsia" w:ascii="仿宋_GB2312" w:hAnsi="Verdana" w:eastAsia="仿宋_GB2312"/>
          <w:b/>
          <w:bCs/>
          <w:color w:val="auto"/>
          <w:sz w:val="32"/>
          <w:szCs w:val="32"/>
          <w:u w:val="none"/>
          <w:lang w:eastAsia="zh-CN"/>
        </w:rPr>
        <w:t>公益服务活动的情况、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参加或协助有关政府部门开展中小企业服务活动情况</w:t>
      </w:r>
      <w:r>
        <w:rPr>
          <w:rFonts w:hint="eastAsia" w:ascii="仿宋_GB2312" w:hAnsi="Verdana" w:eastAsia="仿宋_GB2312"/>
          <w:b/>
          <w:bCs/>
          <w:color w:val="auto"/>
          <w:sz w:val="32"/>
          <w:szCs w:val="32"/>
          <w:u w:val="none"/>
          <w:lang w:eastAsia="zh-CN"/>
        </w:rPr>
        <w:t>请分别单列，须含未来三年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中小企业公益服务计划，以及成功为中小微企业解决痛点难点问题的典型案例材料</w:t>
      </w:r>
      <w:r>
        <w:rPr>
          <w:rFonts w:hint="eastAsia" w:ascii="仿宋_GB2312" w:hAnsi="Verdana" w:eastAsia="仿宋_GB2312"/>
          <w:color w:val="auto"/>
          <w:sz w:val="32"/>
          <w:szCs w:val="32"/>
          <w:u w:val="none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3" w:firstLineChars="198"/>
        <w:textAlignment w:val="auto"/>
        <w:rPr>
          <w:rFonts w:ascii="仿宋_GB2312" w:hAnsi="Verdana" w:eastAsia="仿宋_GB2312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（八）开展相关服务的</w:t>
      </w:r>
      <w:r>
        <w:rPr>
          <w:rFonts w:hint="eastAsia" w:ascii="仿宋_GB2312" w:hAnsi="Verdana" w:eastAsia="仿宋_GB2312"/>
          <w:color w:val="auto"/>
          <w:sz w:val="32"/>
          <w:szCs w:val="32"/>
        </w:rPr>
        <w:t>资格(资质、体系认证)、网站备案、许可证等证明(复印件)；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Verdana" w:eastAsia="仿宋_GB2312"/>
          <w:color w:val="auto"/>
          <w:sz w:val="32"/>
          <w:szCs w:val="32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（九）获得国家、省、市有关政府部门颁发荣誉数及政府资助证明（证书、批复文件）；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Verdana" w:eastAsia="仿宋_GB2312"/>
          <w:color w:val="auto"/>
          <w:sz w:val="32"/>
          <w:szCs w:val="32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（十）能够证明符合申报条件的其他材料；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（十一）对申报材料真实性的声明（加盖申报单位公章）。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ascii="黑体" w:hAnsi="黑体" w:eastAsia="黑体" w:cs="Calibri"/>
          <w:color w:val="auto"/>
          <w:sz w:val="32"/>
          <w:szCs w:val="32"/>
        </w:rPr>
      </w:pPr>
      <w:r>
        <w:rPr>
          <w:rFonts w:hint="eastAsia" w:ascii="仿宋_GB2312" w:hAnsi="黑体" w:eastAsia="仿宋_GB2312" w:cs="Calibri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Calibri"/>
          <w:color w:val="auto"/>
          <w:sz w:val="32"/>
          <w:szCs w:val="32"/>
        </w:rPr>
        <w:t xml:space="preserve">  五、申报要求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3" w:firstLineChars="176"/>
        <w:jc w:val="both"/>
        <w:textAlignment w:val="auto"/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（一）系统申报：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720" w:firstLineChars="225"/>
        <w:jc w:val="both"/>
        <w:textAlignment w:val="auto"/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1.申报单位登录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  <w:lang w:eastAsia="zh-CN"/>
        </w:rPr>
        <w:t>广东省政务服务网</w:t>
      </w:r>
      <w:r>
        <w:rPr>
          <w:rFonts w:hint="eastAsia" w:ascii="MS Mincho" w:hAnsi="MS Mincho" w:eastAsia="MS Mincho" w:cs="MS Mincho"/>
          <w:color w:val="auto"/>
          <w:sz w:val="32"/>
          <w:szCs w:val="32"/>
          <w:shd w:val="clear" w:color="auto" w:fill="FFFFFF"/>
        </w:rPr>
        <w:t> </w:t>
      </w:r>
      <w:r>
        <w:rPr>
          <w:rFonts w:hint="eastAsia" w:ascii="MS Mincho" w:hAnsi="MS Mincho" w:cs="MS Mincho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>https://www.gdzwfw.gov.cn/portal/guide/1144030059070699353442004124000），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>企业端手册操作步骤，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选择“深圳市中小企业公共服务示范平台”事项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  <w:lang w:eastAsia="zh-CN"/>
        </w:rPr>
        <w:t>办理申请。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3" w:firstLineChars="176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2.申请报告中的《深圳市中小企业公共服务示范平台认定自评表》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供企业自我评测，不作为评审依据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0" w:firstLineChars="150"/>
        <w:jc w:val="both"/>
        <w:textAlignment w:val="auto"/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（二）申报材料要求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深圳市中小企业公共服务示范平台申请报告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由申报单位在申报系统中填写并下载打印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0" w:firstLineChars="150"/>
        <w:jc w:val="both"/>
        <w:textAlignment w:val="auto"/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请按照申请材料顺序，将申报资料编制目录并装订成册(胶装)。申报材料一式两份，A4纸正反面打印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复印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，非空白页(含封面)需连续编写页码。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63" w:firstLineChars="176"/>
        <w:jc w:val="both"/>
        <w:textAlignment w:val="auto"/>
        <w:rPr>
          <w:rFonts w:hint="eastAsia" w:ascii="仿宋_GB2312" w:hAnsi="΢���ź�" w:eastAsia="仿宋_GB2312"/>
          <w:color w:val="auto"/>
          <w:sz w:val="32"/>
          <w:szCs w:val="32"/>
        </w:rPr>
      </w:pPr>
      <w:r>
        <w:rPr>
          <w:rFonts w:hint="eastAsia" w:ascii="仿宋_GB2312" w:hAnsi="΢���ź�" w:eastAsia="仿宋_GB2312"/>
          <w:color w:val="auto"/>
          <w:sz w:val="32"/>
          <w:szCs w:val="32"/>
        </w:rPr>
        <w:t>（三）申报时间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720" w:firstLineChars="225"/>
        <w:jc w:val="both"/>
        <w:textAlignment w:val="auto"/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1.网上填报受理时间：20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7日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</w:rPr>
        <w:t>—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9月18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</w:rPr>
        <w:t>日 17:00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(注：超过网络填报受理的截止时间，不再受理新提交申请)。</w:t>
      </w:r>
      <w:r>
        <w:rPr>
          <w:rFonts w:hint="eastAsia" w:ascii="仿宋_GB2312" w:hAnsi="΢���ź�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 xml:space="preserve">    2.书面材料受理时间：20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16日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</w:rPr>
        <w:t>—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9月25</w:t>
      </w:r>
      <w:r>
        <w:rPr>
          <w:rFonts w:hint="eastAsia" w:ascii="仿宋_GB2312" w:hAnsi="΢���ź�" w:eastAsia="仿宋_GB2312"/>
          <w:color w:val="auto"/>
          <w:sz w:val="32"/>
          <w:szCs w:val="32"/>
          <w:u w:val="none"/>
          <w:shd w:val="clear" w:color="auto" w:fill="FFFFFF"/>
        </w:rPr>
        <w:t>日 17:00</w:t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（注：超过书面材料受理的截止时间，系统将不能在修改，收文窗口不再受理材料）。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150"/>
        <w:jc w:val="both"/>
        <w:textAlignment w:val="auto"/>
        <w:rPr>
          <w:rStyle w:val="8"/>
          <w:rFonts w:hint="eastAsia" w:ascii="仿宋_GB2312" w:hAnsi="΢���ź�" w:eastAsia="仿宋_GB2312"/>
          <w:b w:val="0"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΢���ź�" w:eastAsia="仿宋_GB2312"/>
          <w:b w:val="0"/>
          <w:color w:val="auto"/>
          <w:sz w:val="32"/>
          <w:szCs w:val="32"/>
          <w:shd w:val="clear" w:color="auto" w:fill="FFFFFF"/>
        </w:rPr>
        <w:t>（四）受理地点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΢���ź�" w:eastAsia="仿宋_GB2312" w:cs="宋体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΢���ź�" w:eastAsia="仿宋_GB2312" w:cs="宋体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深圳市福田区福中三路市民中心B区行政服务大厅西厅综合受理窗口。</w:t>
      </w:r>
      <w:r>
        <w:rPr>
          <w:rFonts w:hint="eastAsia" w:ascii="仿宋_GB2312" w:hAnsi="΢���ź�" w:eastAsia="仿宋_GB2312" w:cs="宋体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（</w:t>
      </w:r>
      <w:r>
        <w:rPr>
          <w:rFonts w:hint="eastAsia" w:ascii="仿宋_GB2312" w:hAnsi="΢���ź�" w:eastAsia="仿宋_GB2312" w:cs="宋体"/>
          <w:b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疫情期间，预审通过后，请提前3个工作日进行预约，并按照预约时段，错峰提交材料。</w:t>
      </w:r>
      <w:r>
        <w:rPr>
          <w:rFonts w:hint="eastAsia" w:ascii="仿宋_GB2312" w:hAnsi="΢���ź�" w:eastAsia="仿宋_GB2312" w:cs="宋体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预约指南：“i深圳”APP 或关注“深圳市行政服务大厅”微信公众号。操作流程：【办事预约】或【预约取号】—【深圳市行政服务大厅西厅】。）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719" w:leftChars="266" w:hanging="160" w:hangingChars="50"/>
        <w:jc w:val="both"/>
        <w:textAlignment w:val="auto"/>
        <w:rPr>
          <w:rFonts w:hint="default" w:ascii="仿宋_GB2312" w:hAnsi="΢���ź�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shd w:val="clear" w:color="auto" w:fill="FFFFFF"/>
        </w:rPr>
        <w:t>（五）联系方式</w:t>
      </w:r>
      <w:r>
        <w:rPr>
          <w:rFonts w:hint="eastAsia" w:ascii="仿宋_GB2312" w:hAnsi="΢���ź�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΢���ź�" w:eastAsia="仿宋_GB2312"/>
          <w:color w:val="auto"/>
          <w:sz w:val="32"/>
          <w:szCs w:val="32"/>
          <w:shd w:val="clear" w:color="auto" w:fill="FFFFFF"/>
        </w:rPr>
        <w:t>1.系统技术支</w:t>
      </w:r>
      <w:r>
        <w:rPr>
          <w:rStyle w:val="8"/>
          <w:rFonts w:hint="eastAsia" w:ascii="仿宋_GB2312" w:hAnsi="΢���ź�" w:eastAsia="仿宋_GB2312"/>
          <w:b w:val="0"/>
          <w:color w:val="auto"/>
          <w:sz w:val="32"/>
          <w:szCs w:val="32"/>
          <w:shd w:val="clear" w:color="auto" w:fill="FFFFFF"/>
        </w:rPr>
        <w:t>持电话：25331216，88121903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720" w:firstLineChars="225"/>
        <w:jc w:val="both"/>
        <w:textAlignment w:val="auto"/>
        <w:rPr>
          <w:rFonts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>2.业务咨询电话：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>综合信息服务</w:t>
      </w: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Calibri"/>
          <w:color w:val="auto"/>
          <w:sz w:val="32"/>
          <w:szCs w:val="32"/>
        </w:rPr>
        <w:t>技术支撑服务</w:t>
      </w: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Calibri"/>
          <w:color w:val="auto"/>
          <w:sz w:val="32"/>
          <w:szCs w:val="32"/>
        </w:rPr>
        <w:t xml:space="preserve">信息化应用服务  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default" w:ascii="仿宋_GB2312" w:eastAsia="仿宋_GB2312" w:cs="Calibri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鹏</w:t>
      </w:r>
      <w:r>
        <w:rPr>
          <w:rFonts w:hint="eastAsia" w:ascii="仿宋_GB2312" w:eastAsia="仿宋_GB2312" w:cs="Calibri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Calibri"/>
          <w:color w:val="auto"/>
          <w:sz w:val="32"/>
          <w:szCs w:val="32"/>
        </w:rPr>
        <w:t>83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>569972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eastAsia="仿宋_GB2312" w:cs="Calibri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Calibri"/>
          <w:color w:val="auto"/>
          <w:sz w:val="32"/>
          <w:szCs w:val="32"/>
        </w:rPr>
        <w:t xml:space="preserve">创业创新帮扶服务  </w:t>
      </w: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李清义</w:t>
      </w:r>
      <w:r>
        <w:rPr>
          <w:rFonts w:hint="eastAsia" w:ascii="仿宋_GB2312" w:eastAsia="仿宋_GB2312" w:cs="Calibri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 xml:space="preserve"> 83051495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人才</w:t>
      </w:r>
      <w:r>
        <w:rPr>
          <w:rFonts w:hint="eastAsia" w:ascii="仿宋_GB2312" w:eastAsia="仿宋_GB2312" w:cs="Calibri"/>
          <w:color w:val="auto"/>
          <w:sz w:val="32"/>
          <w:szCs w:val="32"/>
        </w:rPr>
        <w:t xml:space="preserve">培训服务      </w:t>
      </w: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薛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莹</w:t>
      </w:r>
      <w:r>
        <w:rPr>
          <w:rFonts w:hint="eastAsia" w:ascii="仿宋_GB2312" w:eastAsia="仿宋_GB2312" w:cs="Calibri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Calibri"/>
          <w:color w:val="auto"/>
          <w:sz w:val="32"/>
          <w:szCs w:val="32"/>
        </w:rPr>
        <w:t>82975903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 xml:space="preserve">融资服务      </w:t>
      </w:r>
      <w:r>
        <w:rPr>
          <w:rFonts w:hint="eastAsia" w:ascii="仿宋_GB2312" w:eastAsia="仿宋_GB2312" w:cs="Calibri"/>
          <w:color w:val="auto"/>
          <w:sz w:val="32"/>
          <w:szCs w:val="32"/>
          <w:lang w:val="en-US" w:eastAsia="zh-CN"/>
        </w:rPr>
        <w:t xml:space="preserve">    黄  聪  </w:t>
      </w:r>
      <w:r>
        <w:rPr>
          <w:rFonts w:hint="eastAsia" w:ascii="仿宋_GB2312" w:eastAsia="仿宋_GB2312" w:cs="Calibri"/>
          <w:color w:val="auto"/>
          <w:sz w:val="32"/>
          <w:szCs w:val="32"/>
          <w:lang w:eastAsia="zh-CN"/>
        </w:rPr>
        <w:t>82977354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六、申请决定机关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七、办理流程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市中小企业服务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发布指南</w:t>
      </w:r>
      <w:r>
        <w:rPr>
          <w:rFonts w:hint="eastAsia" w:ascii="仿宋_GB2312" w:hAnsi="宋体" w:eastAsia="宋体" w:cs="宋体"/>
          <w:color w:val="auto"/>
          <w:sz w:val="32"/>
          <w:szCs w:val="32"/>
        </w:rPr>
        <w:t>――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申请人网上申报</w:t>
      </w:r>
      <w:r>
        <w:rPr>
          <w:rFonts w:hint="eastAsia" w:ascii="仿宋_GB2312" w:hAnsi="宋体" w:eastAsia="宋体" w:cs="宋体"/>
          <w:color w:val="auto"/>
          <w:sz w:val="32"/>
          <w:szCs w:val="32"/>
        </w:rPr>
        <w:t>――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申请人向市行政服务大厅收文窗口提交申请材料</w:t>
      </w:r>
      <w:r>
        <w:rPr>
          <w:rFonts w:hint="eastAsia" w:ascii="仿宋_GB2312" w:hAnsi="宋体" w:eastAsia="宋体" w:cs="宋体"/>
          <w:color w:val="auto"/>
          <w:sz w:val="32"/>
          <w:szCs w:val="32"/>
        </w:rPr>
        <w:t>――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对申请材料进行形式审查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专家评审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现场核查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――综合评定――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中小企业服务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发文公示――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发公文。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八、办理时限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一批60个工作日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九、证件及有效期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证件：批准文件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有效期：三年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十、证件的法律效力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申请单位凭批准文件获得深圳市民营及中小企业发展专项资金资助。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十一、收费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无。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color w:val="auto"/>
          <w:sz w:val="32"/>
          <w:szCs w:val="32"/>
        </w:rPr>
        <w:t>十二、年审或年检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24"/>
    <w:rsid w:val="001C0EC9"/>
    <w:rsid w:val="002E6AC5"/>
    <w:rsid w:val="0039768C"/>
    <w:rsid w:val="005F4DCA"/>
    <w:rsid w:val="0065113A"/>
    <w:rsid w:val="00684324"/>
    <w:rsid w:val="007C3EDA"/>
    <w:rsid w:val="00863544"/>
    <w:rsid w:val="00BC3ABA"/>
    <w:rsid w:val="00CC6957"/>
    <w:rsid w:val="00D15094"/>
    <w:rsid w:val="00E465AD"/>
    <w:rsid w:val="00E96819"/>
    <w:rsid w:val="00F72D01"/>
    <w:rsid w:val="00F85D46"/>
    <w:rsid w:val="01A65F4E"/>
    <w:rsid w:val="02D46BFF"/>
    <w:rsid w:val="03554DC5"/>
    <w:rsid w:val="036B780E"/>
    <w:rsid w:val="03933CFD"/>
    <w:rsid w:val="03B353A1"/>
    <w:rsid w:val="04471CB8"/>
    <w:rsid w:val="054A2E11"/>
    <w:rsid w:val="059862C7"/>
    <w:rsid w:val="074C2622"/>
    <w:rsid w:val="07A13F37"/>
    <w:rsid w:val="07C24418"/>
    <w:rsid w:val="07F66489"/>
    <w:rsid w:val="092E0140"/>
    <w:rsid w:val="09673497"/>
    <w:rsid w:val="0A391E5B"/>
    <w:rsid w:val="0A882C18"/>
    <w:rsid w:val="0BA40025"/>
    <w:rsid w:val="0BE43DB0"/>
    <w:rsid w:val="0C644F44"/>
    <w:rsid w:val="0D0C0F46"/>
    <w:rsid w:val="0D683799"/>
    <w:rsid w:val="0DF24311"/>
    <w:rsid w:val="0E290D63"/>
    <w:rsid w:val="0E432A36"/>
    <w:rsid w:val="0F092693"/>
    <w:rsid w:val="105A37C5"/>
    <w:rsid w:val="105F22DA"/>
    <w:rsid w:val="105F4ED4"/>
    <w:rsid w:val="10750367"/>
    <w:rsid w:val="10B9537C"/>
    <w:rsid w:val="10F36F1E"/>
    <w:rsid w:val="116B556A"/>
    <w:rsid w:val="11EE3110"/>
    <w:rsid w:val="12504167"/>
    <w:rsid w:val="12933D97"/>
    <w:rsid w:val="14440278"/>
    <w:rsid w:val="154B24C5"/>
    <w:rsid w:val="15863F23"/>
    <w:rsid w:val="168D4659"/>
    <w:rsid w:val="175D7F4D"/>
    <w:rsid w:val="17F03DF0"/>
    <w:rsid w:val="18AB2BDF"/>
    <w:rsid w:val="19B252C7"/>
    <w:rsid w:val="19CE1A95"/>
    <w:rsid w:val="19FD6DAF"/>
    <w:rsid w:val="1A156B95"/>
    <w:rsid w:val="1A9C2903"/>
    <w:rsid w:val="1AB448C1"/>
    <w:rsid w:val="1B4121E1"/>
    <w:rsid w:val="1C366711"/>
    <w:rsid w:val="1D2039FB"/>
    <w:rsid w:val="1D960FEC"/>
    <w:rsid w:val="1EDE3914"/>
    <w:rsid w:val="1F6A0F11"/>
    <w:rsid w:val="1F7C3978"/>
    <w:rsid w:val="1FBC752E"/>
    <w:rsid w:val="206915CB"/>
    <w:rsid w:val="208036F1"/>
    <w:rsid w:val="220B3506"/>
    <w:rsid w:val="25796E61"/>
    <w:rsid w:val="25BF6038"/>
    <w:rsid w:val="28222E6F"/>
    <w:rsid w:val="288A480D"/>
    <w:rsid w:val="28EB7CE7"/>
    <w:rsid w:val="2BD1218E"/>
    <w:rsid w:val="2DF71870"/>
    <w:rsid w:val="2FD4631D"/>
    <w:rsid w:val="30E32D53"/>
    <w:rsid w:val="30F85D50"/>
    <w:rsid w:val="318B54CB"/>
    <w:rsid w:val="31A839EE"/>
    <w:rsid w:val="31BF2295"/>
    <w:rsid w:val="31C6653D"/>
    <w:rsid w:val="31E0024D"/>
    <w:rsid w:val="321D2EBE"/>
    <w:rsid w:val="32854F75"/>
    <w:rsid w:val="345458F7"/>
    <w:rsid w:val="35237F65"/>
    <w:rsid w:val="35622713"/>
    <w:rsid w:val="35C66A65"/>
    <w:rsid w:val="37023FCF"/>
    <w:rsid w:val="3744226D"/>
    <w:rsid w:val="3961431E"/>
    <w:rsid w:val="39E05FEA"/>
    <w:rsid w:val="3A356FAD"/>
    <w:rsid w:val="3AFD3735"/>
    <w:rsid w:val="3B0952EB"/>
    <w:rsid w:val="3BF04210"/>
    <w:rsid w:val="3CCA7EF2"/>
    <w:rsid w:val="3DA57743"/>
    <w:rsid w:val="3DED544A"/>
    <w:rsid w:val="3E4A6AD7"/>
    <w:rsid w:val="3F833183"/>
    <w:rsid w:val="3FE753AB"/>
    <w:rsid w:val="4022139E"/>
    <w:rsid w:val="40E82D49"/>
    <w:rsid w:val="413A66BF"/>
    <w:rsid w:val="413E1C36"/>
    <w:rsid w:val="41B60194"/>
    <w:rsid w:val="423D7263"/>
    <w:rsid w:val="42491F88"/>
    <w:rsid w:val="439B50E7"/>
    <w:rsid w:val="43B4236B"/>
    <w:rsid w:val="443179A3"/>
    <w:rsid w:val="445D3323"/>
    <w:rsid w:val="460C2ABF"/>
    <w:rsid w:val="46775BE4"/>
    <w:rsid w:val="473A606C"/>
    <w:rsid w:val="48E66713"/>
    <w:rsid w:val="4ABF254B"/>
    <w:rsid w:val="4BA46554"/>
    <w:rsid w:val="4D201AA5"/>
    <w:rsid w:val="4E4A5284"/>
    <w:rsid w:val="4F272F90"/>
    <w:rsid w:val="51017D9A"/>
    <w:rsid w:val="51877553"/>
    <w:rsid w:val="51A42BA6"/>
    <w:rsid w:val="52ED0CDC"/>
    <w:rsid w:val="53116A02"/>
    <w:rsid w:val="53B76A78"/>
    <w:rsid w:val="54971853"/>
    <w:rsid w:val="54AB5FB2"/>
    <w:rsid w:val="54B4320F"/>
    <w:rsid w:val="54CD7A24"/>
    <w:rsid w:val="556F3BF6"/>
    <w:rsid w:val="56713129"/>
    <w:rsid w:val="574C1A63"/>
    <w:rsid w:val="58902EF2"/>
    <w:rsid w:val="58FD48AA"/>
    <w:rsid w:val="5A083ADA"/>
    <w:rsid w:val="5A493298"/>
    <w:rsid w:val="5D12144F"/>
    <w:rsid w:val="5D8B1887"/>
    <w:rsid w:val="5DEF41AF"/>
    <w:rsid w:val="5E313D68"/>
    <w:rsid w:val="5EEB03A5"/>
    <w:rsid w:val="5FFC7AB3"/>
    <w:rsid w:val="603E1D98"/>
    <w:rsid w:val="6053583B"/>
    <w:rsid w:val="61391A7F"/>
    <w:rsid w:val="61B57B85"/>
    <w:rsid w:val="63446480"/>
    <w:rsid w:val="64166A2D"/>
    <w:rsid w:val="654C3EE9"/>
    <w:rsid w:val="65DB1DD8"/>
    <w:rsid w:val="6608556F"/>
    <w:rsid w:val="662373EA"/>
    <w:rsid w:val="670A54E1"/>
    <w:rsid w:val="67FF601C"/>
    <w:rsid w:val="68B572BC"/>
    <w:rsid w:val="69A9025E"/>
    <w:rsid w:val="69D72FDC"/>
    <w:rsid w:val="6B771E6C"/>
    <w:rsid w:val="6BAA6296"/>
    <w:rsid w:val="6BEF795F"/>
    <w:rsid w:val="6C565425"/>
    <w:rsid w:val="6C7861DC"/>
    <w:rsid w:val="6CFC2DD2"/>
    <w:rsid w:val="6D26080E"/>
    <w:rsid w:val="6E2940AD"/>
    <w:rsid w:val="6ED43879"/>
    <w:rsid w:val="6EE015A5"/>
    <w:rsid w:val="6F1561F1"/>
    <w:rsid w:val="6F211F0E"/>
    <w:rsid w:val="701F7023"/>
    <w:rsid w:val="70A661DE"/>
    <w:rsid w:val="712E1817"/>
    <w:rsid w:val="72AE0381"/>
    <w:rsid w:val="7553095C"/>
    <w:rsid w:val="75C657D6"/>
    <w:rsid w:val="76193D18"/>
    <w:rsid w:val="766203FF"/>
    <w:rsid w:val="79EB18B9"/>
    <w:rsid w:val="7AA13BED"/>
    <w:rsid w:val="7AA355AE"/>
    <w:rsid w:val="7B9F088D"/>
    <w:rsid w:val="7BA327D1"/>
    <w:rsid w:val="7D760EF1"/>
    <w:rsid w:val="7E8F5562"/>
    <w:rsid w:val="7EAA7B0F"/>
    <w:rsid w:val="7FD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文件正文"/>
    <w:qFormat/>
    <w:uiPriority w:val="2"/>
    <w:pPr>
      <w:spacing w:line="560" w:lineRule="exact"/>
      <w:ind w:firstLine="622" w:firstLineChars="200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3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554</Words>
  <Characters>3162</Characters>
  <Lines>26</Lines>
  <Paragraphs>7</Paragraphs>
  <TotalTime>14</TotalTime>
  <ScaleCrop>false</ScaleCrop>
  <LinksUpToDate>false</LinksUpToDate>
  <CharactersWithSpaces>3709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2018-08-06T00:51:00Z</dcterms:created>
  <dc:creator>杨文友</dc:creator>
  <cp:lastModifiedBy>王鹏</cp:lastModifiedBy>
  <dcterms:modified xsi:type="dcterms:W3CDTF">2020-09-01T07:20:39Z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