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深圳市商务局</w:t>
      </w:r>
      <w:r>
        <w:rPr>
          <w:rFonts w:hint="eastAsia" w:ascii="方正小标宋简体" w:eastAsia="方正小标宋简体"/>
          <w:sz w:val="44"/>
          <w:szCs w:val="44"/>
          <w:lang w:val="en-US" w:eastAsia="zh-CN"/>
        </w:rPr>
        <w:t>2021年</w:t>
      </w:r>
      <w:r>
        <w:rPr>
          <w:rFonts w:hint="eastAsia" w:ascii="方正小标宋简体" w:eastAsia="方正小标宋简体"/>
          <w:sz w:val="44"/>
          <w:szCs w:val="44"/>
        </w:rPr>
        <w:t>促消费提升扶持计划</w:t>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hint="eastAsia" w:eastAsia="方正小标宋简体"/>
          <w:lang w:eastAsia="zh-CN"/>
        </w:rPr>
      </w:pPr>
      <w:r>
        <w:rPr>
          <w:rFonts w:hint="eastAsia" w:ascii="方正小标宋简体" w:eastAsia="方正小标宋简体"/>
          <w:sz w:val="44"/>
          <w:szCs w:val="44"/>
        </w:rPr>
        <w:t>消费增长</w:t>
      </w:r>
      <w:r>
        <w:rPr>
          <w:rFonts w:hint="eastAsia" w:ascii="方正小标宋简体" w:eastAsia="方正小标宋简体"/>
          <w:sz w:val="44"/>
          <w:szCs w:val="44"/>
          <w:lang w:eastAsia="zh-CN"/>
        </w:rPr>
        <w:t>出口转内销</w:t>
      </w:r>
      <w:r>
        <w:rPr>
          <w:rFonts w:hint="eastAsia" w:ascii="方正小标宋简体" w:eastAsia="方正小标宋简体"/>
          <w:sz w:val="44"/>
          <w:szCs w:val="44"/>
        </w:rPr>
        <w:t>项目</w:t>
      </w:r>
      <w:r>
        <w:rPr>
          <w:rFonts w:hint="eastAsia" w:ascii="方正小标宋简体" w:eastAsia="方正小标宋简体"/>
          <w:sz w:val="44"/>
          <w:szCs w:val="44"/>
          <w:lang w:eastAsia="zh-CN"/>
        </w:rPr>
        <w:t>申报指南</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一、支持领域</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根据《深圳市人民政府办公厅关于印发进一步激发消费活力促进消费增长若干措施的通知》（深府办规〔2020〕8号，以下简称《若干措施》），对外贸企业</w:t>
      </w:r>
      <w:r>
        <w:rPr>
          <w:rFonts w:hint="eastAsia" w:ascii="仿宋_GB2312" w:eastAsia="仿宋_GB2312"/>
          <w:sz w:val="32"/>
          <w:szCs w:val="32"/>
          <w:lang w:eastAsia="zh-CN"/>
        </w:rPr>
        <w:t>出口产品</w:t>
      </w:r>
      <w:r>
        <w:rPr>
          <w:rFonts w:hint="eastAsia" w:ascii="仿宋_GB2312" w:eastAsia="仿宋_GB2312"/>
          <w:sz w:val="32"/>
          <w:szCs w:val="32"/>
        </w:rPr>
        <w:t>转内销给予支持。</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二、设定依据</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（一）政策依据：</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楷体" w:eastAsia="仿宋_GB2312"/>
          <w:sz w:val="32"/>
          <w:szCs w:val="32"/>
        </w:rPr>
        <w:t>《</w:t>
      </w:r>
      <w:r>
        <w:rPr>
          <w:rFonts w:hint="eastAsia" w:ascii="仿宋_GB2312" w:eastAsia="仿宋_GB2312"/>
          <w:sz w:val="32"/>
          <w:szCs w:val="32"/>
        </w:rPr>
        <w:t>深圳市人民政府办公厅关于印发进一步激发消费活力促进消费增长若干措施的通知</w:t>
      </w:r>
      <w:r>
        <w:rPr>
          <w:rFonts w:hint="eastAsia" w:ascii="仿宋_GB2312" w:hAnsi="楷体" w:eastAsia="仿宋_GB2312"/>
          <w:sz w:val="32"/>
          <w:szCs w:val="32"/>
        </w:rPr>
        <w:t>》（</w:t>
      </w:r>
      <w:r>
        <w:rPr>
          <w:rFonts w:hint="eastAsia" w:ascii="仿宋_GB2312" w:eastAsia="仿宋_GB2312"/>
          <w:sz w:val="32"/>
          <w:szCs w:val="32"/>
        </w:rPr>
        <w:t>深府办规〔2020〕8号</w:t>
      </w:r>
      <w:r>
        <w:rPr>
          <w:rFonts w:hint="eastAsia" w:ascii="仿宋_GB2312" w:hAnsi="楷体" w:eastAsia="仿宋_GB2312"/>
          <w:sz w:val="32"/>
          <w:szCs w:val="32"/>
        </w:rPr>
        <w:t>）</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（二）管理依据：</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hAnsi="楷体" w:eastAsia="仿宋_GB2312"/>
          <w:sz w:val="32"/>
          <w:szCs w:val="32"/>
        </w:rPr>
      </w:pPr>
      <w:r>
        <w:rPr>
          <w:rFonts w:hint="eastAsia" w:ascii="仿宋_GB2312" w:hAnsi="楷体" w:eastAsia="仿宋_GB2312"/>
          <w:sz w:val="32"/>
          <w:szCs w:val="32"/>
        </w:rPr>
        <w:t>《深圳市商务发展专项资金管理办法》（深商务规字〔2020〕2号）</w:t>
      </w:r>
    </w:p>
    <w:p>
      <w:pPr>
        <w:keepNext w:val="0"/>
        <w:keepLines w:val="0"/>
        <w:pageBreakBefore w:val="0"/>
        <w:widowControl w:val="0"/>
        <w:kinsoku/>
        <w:wordWrap/>
        <w:overflowPunct/>
        <w:topLinePunct w:val="0"/>
        <w:autoSpaceDN/>
        <w:bidi w:val="0"/>
        <w:adjustRightInd/>
        <w:snapToGrid/>
        <w:spacing w:line="560" w:lineRule="exact"/>
        <w:ind w:firstLine="630"/>
        <w:textAlignment w:val="auto"/>
        <w:rPr>
          <w:rFonts w:ascii="黑体" w:hAnsi="黑体" w:eastAsia="黑体"/>
          <w:sz w:val="32"/>
          <w:szCs w:val="32"/>
        </w:rPr>
      </w:pPr>
      <w:r>
        <w:rPr>
          <w:rFonts w:hint="eastAsia" w:ascii="黑体" w:hAnsi="黑体" w:eastAsia="黑体"/>
          <w:sz w:val="32"/>
          <w:szCs w:val="32"/>
        </w:rPr>
        <w:t>三、支持数量和支持方式</w:t>
      </w:r>
    </w:p>
    <w:p>
      <w:pPr>
        <w:keepNext w:val="0"/>
        <w:keepLines w:val="0"/>
        <w:pageBreakBefore w:val="0"/>
        <w:widowControl w:val="0"/>
        <w:kinsoku/>
        <w:wordWrap/>
        <w:overflowPunct/>
        <w:topLinePunct w:val="0"/>
        <w:autoSpaceDN/>
        <w:bidi w:val="0"/>
        <w:adjustRightInd/>
        <w:snapToGrid/>
        <w:spacing w:line="560" w:lineRule="exact"/>
        <w:ind w:firstLine="630"/>
        <w:textAlignment w:val="auto"/>
        <w:rPr>
          <w:rFonts w:ascii="楷体_GB2312" w:eastAsia="楷体_GB2312"/>
          <w:bCs/>
          <w:sz w:val="32"/>
          <w:szCs w:val="32"/>
        </w:rPr>
      </w:pPr>
      <w:r>
        <w:rPr>
          <w:rFonts w:hint="eastAsia" w:ascii="楷体_GB2312" w:eastAsia="楷体_GB2312"/>
          <w:bCs/>
          <w:sz w:val="32"/>
          <w:szCs w:val="32"/>
        </w:rPr>
        <w:t>（一）支持数量</w:t>
      </w:r>
    </w:p>
    <w:p>
      <w:pPr>
        <w:keepNext w:val="0"/>
        <w:keepLines w:val="0"/>
        <w:pageBreakBefore w:val="0"/>
        <w:widowControl w:val="0"/>
        <w:kinsoku/>
        <w:wordWrap/>
        <w:overflowPunct/>
        <w:topLinePunct w:val="0"/>
        <w:autoSpaceDN/>
        <w:bidi w:val="0"/>
        <w:adjustRightInd/>
        <w:snapToGrid/>
        <w:spacing w:line="560" w:lineRule="exact"/>
        <w:ind w:firstLine="640"/>
        <w:textAlignment w:val="auto"/>
        <w:rPr>
          <w:rFonts w:ascii="仿宋_GB2312" w:eastAsia="仿宋_GB2312"/>
          <w:sz w:val="32"/>
          <w:szCs w:val="32"/>
          <w:highlight w:val="yellow"/>
        </w:rPr>
      </w:pPr>
      <w:r>
        <w:rPr>
          <w:rFonts w:hint="eastAsia" w:ascii="仿宋_GB2312" w:eastAsia="仿宋_GB2312"/>
          <w:sz w:val="32"/>
          <w:szCs w:val="32"/>
          <w:highlight w:val="none"/>
        </w:rPr>
        <w:t>有数量限制，受财政下达年度资金预算控制，视申报情况，我局据以对资助（或奖励）金额和拨付进度等进行统一调整，申报单位应无条件同意调整结果。</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（二）支持方式</w:t>
      </w:r>
    </w:p>
    <w:p>
      <w:pPr>
        <w:keepNext w:val="0"/>
        <w:keepLines w:val="0"/>
        <w:pageBreakBefore w:val="0"/>
        <w:widowControl w:val="0"/>
        <w:kinsoku/>
        <w:wordWrap/>
        <w:overflowPunct/>
        <w:topLinePunct w:val="0"/>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事后补助。</w:t>
      </w:r>
    </w:p>
    <w:p>
      <w:pPr>
        <w:keepNext w:val="0"/>
        <w:keepLines w:val="0"/>
        <w:pageBreakBefore w:val="0"/>
        <w:widowControl w:val="0"/>
        <w:kinsoku/>
        <w:wordWrap/>
        <w:overflowPunct/>
        <w:topLinePunct w:val="0"/>
        <w:autoSpaceDN/>
        <w:bidi w:val="0"/>
        <w:adjustRightInd/>
        <w:snapToGrid/>
        <w:spacing w:line="560" w:lineRule="exact"/>
        <w:ind w:firstLine="640"/>
        <w:textAlignment w:val="auto"/>
        <w:rPr>
          <w:rFonts w:hint="eastAsia" w:ascii="仿宋_GB2312" w:eastAsia="黑体"/>
          <w:sz w:val="32"/>
          <w:szCs w:val="32"/>
          <w:lang w:val="en-US" w:eastAsia="zh-CN"/>
        </w:rPr>
      </w:pPr>
      <w:r>
        <w:rPr>
          <w:rFonts w:hint="eastAsia" w:ascii="黑体" w:hAnsi="黑体" w:eastAsia="黑体" w:cs="黑体"/>
          <w:sz w:val="32"/>
          <w:szCs w:val="32"/>
        </w:rPr>
        <w:t>四、申报条件</w:t>
      </w: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（一）基础条件：</w:t>
      </w:r>
    </w:p>
    <w:p>
      <w:pPr>
        <w:keepNext w:val="0"/>
        <w:keepLines w:val="0"/>
        <w:pageBreakBefore w:val="0"/>
        <w:widowControl w:val="0"/>
        <w:kinsoku/>
        <w:wordWrap/>
        <w:overflowPunct/>
        <w:topLinePunct w:val="0"/>
        <w:autoSpaceDN/>
        <w:bidi w:val="0"/>
        <w:adjustRightInd/>
        <w:snapToGrid/>
        <w:spacing w:line="560" w:lineRule="exact"/>
        <w:ind w:firstLine="630"/>
        <w:textAlignment w:val="auto"/>
        <w:rPr>
          <w:rFonts w:ascii="仿宋_GB2312" w:eastAsia="仿宋_GB2312"/>
          <w:sz w:val="32"/>
          <w:szCs w:val="32"/>
        </w:rPr>
      </w:pPr>
      <w:r>
        <w:rPr>
          <w:rFonts w:hint="eastAsia" w:ascii="仿宋_GB2312" w:eastAsia="仿宋_GB2312"/>
          <w:sz w:val="32"/>
          <w:szCs w:val="32"/>
        </w:rPr>
        <w:t>1.在深圳市注册、具有独立法人资格的事业单位、企业以及独立承担民事责任能力的其他组织；</w:t>
      </w:r>
    </w:p>
    <w:p>
      <w:pPr>
        <w:keepNext w:val="0"/>
        <w:keepLines w:val="0"/>
        <w:pageBreakBefore w:val="0"/>
        <w:widowControl w:val="0"/>
        <w:kinsoku/>
        <w:wordWrap/>
        <w:overflowPunct/>
        <w:topLinePunct w:val="0"/>
        <w:autoSpaceDN/>
        <w:bidi w:val="0"/>
        <w:adjustRightInd/>
        <w:snapToGrid/>
        <w:spacing w:line="560" w:lineRule="exact"/>
        <w:ind w:firstLine="630"/>
        <w:textAlignment w:val="auto"/>
        <w:rPr>
          <w:rFonts w:ascii="仿宋_GB2312" w:eastAsia="仿宋_GB2312"/>
          <w:sz w:val="32"/>
          <w:szCs w:val="32"/>
        </w:rPr>
      </w:pPr>
      <w:r>
        <w:rPr>
          <w:rFonts w:hint="eastAsia" w:ascii="仿宋_GB2312" w:eastAsia="仿宋_GB2312"/>
          <w:sz w:val="32"/>
          <w:szCs w:val="32"/>
        </w:rPr>
        <w:t>2.申报项目实施地在深圳市；</w:t>
      </w:r>
    </w:p>
    <w:p>
      <w:pPr>
        <w:keepNext w:val="0"/>
        <w:keepLines w:val="0"/>
        <w:pageBreakBefore w:val="0"/>
        <w:widowControl w:val="0"/>
        <w:kinsoku/>
        <w:wordWrap/>
        <w:overflowPunct/>
        <w:topLinePunct w:val="0"/>
        <w:autoSpaceDN/>
        <w:bidi w:val="0"/>
        <w:adjustRightInd/>
        <w:snapToGrid/>
        <w:spacing w:line="560" w:lineRule="exact"/>
        <w:ind w:firstLine="630"/>
        <w:textAlignment w:val="auto"/>
        <w:rPr>
          <w:rFonts w:ascii="仿宋_GB2312" w:eastAsia="仿宋_GB2312"/>
          <w:sz w:val="32"/>
          <w:szCs w:val="32"/>
        </w:rPr>
      </w:pPr>
      <w:r>
        <w:rPr>
          <w:rFonts w:hint="eastAsia" w:ascii="仿宋_GB2312" w:eastAsia="仿宋_GB2312"/>
          <w:sz w:val="32"/>
          <w:szCs w:val="32"/>
        </w:rPr>
        <w:t>3.申报单位不存在以同一事项重复或多头申报市级专项资金；</w:t>
      </w:r>
    </w:p>
    <w:p>
      <w:pPr>
        <w:keepNext w:val="0"/>
        <w:keepLines w:val="0"/>
        <w:pageBreakBefore w:val="0"/>
        <w:widowControl w:val="0"/>
        <w:kinsoku/>
        <w:wordWrap/>
        <w:overflowPunct/>
        <w:topLinePunct w:val="0"/>
        <w:autoSpaceDN/>
        <w:bidi w:val="0"/>
        <w:adjustRightInd/>
        <w:snapToGrid/>
        <w:spacing w:line="560" w:lineRule="exact"/>
        <w:ind w:firstLine="630"/>
        <w:textAlignment w:val="auto"/>
        <w:rPr>
          <w:rFonts w:ascii="仿宋_GB2312" w:eastAsia="仿宋_GB2312"/>
          <w:sz w:val="32"/>
          <w:szCs w:val="32"/>
        </w:rPr>
      </w:pPr>
      <w:r>
        <w:rPr>
          <w:rFonts w:hint="eastAsia" w:ascii="仿宋_GB2312" w:hAnsi="仿宋_GB2312" w:eastAsia="仿宋_GB2312" w:cs="仿宋_GB2312"/>
          <w:color w:val="000000"/>
          <w:sz w:val="32"/>
          <w:szCs w:val="32"/>
        </w:rPr>
        <w:t>4.申报单位</w:t>
      </w:r>
      <w:r>
        <w:rPr>
          <w:rFonts w:hint="eastAsia" w:ascii="仿宋_GB2312" w:eastAsia="仿宋_GB2312"/>
          <w:sz w:val="32"/>
          <w:szCs w:val="32"/>
        </w:rPr>
        <w:t>持续诚信合规经营，</w:t>
      </w:r>
      <w:r>
        <w:rPr>
          <w:rFonts w:hint="eastAsia" w:ascii="仿宋_GB2312" w:hAnsi="仿宋_GB2312" w:eastAsia="仿宋_GB2312" w:cs="仿宋_GB2312"/>
          <w:color w:val="000000"/>
          <w:sz w:val="32"/>
          <w:szCs w:val="32"/>
        </w:rPr>
        <w:t>未被国家、省、市相关部门列入失信联合惩戒名单;</w:t>
      </w:r>
    </w:p>
    <w:p>
      <w:pPr>
        <w:keepNext w:val="0"/>
        <w:keepLines w:val="0"/>
        <w:pageBreakBefore w:val="0"/>
        <w:widowControl w:val="0"/>
        <w:kinsoku/>
        <w:wordWrap/>
        <w:overflowPunct/>
        <w:topLinePunct w:val="0"/>
        <w:autoSpaceDN/>
        <w:bidi w:val="0"/>
        <w:adjustRightInd/>
        <w:snapToGrid/>
        <w:spacing w:line="560" w:lineRule="exact"/>
        <w:ind w:firstLine="630"/>
        <w:textAlignment w:val="auto"/>
        <w:rPr>
          <w:rFonts w:ascii="仿宋_GB2312" w:eastAsia="仿宋_GB2312"/>
          <w:sz w:val="32"/>
          <w:szCs w:val="32"/>
        </w:rPr>
      </w:pPr>
      <w:r>
        <w:rPr>
          <w:rFonts w:hint="eastAsia" w:ascii="仿宋_GB2312" w:eastAsia="仿宋_GB2312"/>
          <w:sz w:val="32"/>
          <w:szCs w:val="32"/>
        </w:rPr>
        <w:t>5.申报单位按要求向统计部门和商务主管部门报送统计数据。</w:t>
      </w:r>
    </w:p>
    <w:p>
      <w:pPr>
        <w:keepNext w:val="0"/>
        <w:keepLines w:val="0"/>
        <w:pageBreakBefore w:val="0"/>
        <w:widowControl w:val="0"/>
        <w:kinsoku/>
        <w:wordWrap/>
        <w:overflowPunct/>
        <w:topLinePunct w:val="0"/>
        <w:autoSpaceDN/>
        <w:bidi w:val="0"/>
        <w:adjustRightInd/>
        <w:snapToGrid/>
        <w:spacing w:line="560" w:lineRule="exact"/>
        <w:ind w:firstLine="63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（二）专项条件：</w:t>
      </w:r>
    </w:p>
    <w:p>
      <w:pPr>
        <w:keepNext w:val="0"/>
        <w:keepLines w:val="0"/>
        <w:pageBreakBefore w:val="0"/>
        <w:widowControl w:val="0"/>
        <w:kinsoku/>
        <w:wordWrap/>
        <w:overflowPunct/>
        <w:topLinePunct w:val="0"/>
        <w:autoSpaceDN/>
        <w:bidi w:val="0"/>
        <w:adjustRightInd/>
        <w:snapToGrid/>
        <w:spacing w:line="560" w:lineRule="exact"/>
        <w:ind w:firstLine="630"/>
        <w:textAlignment w:val="auto"/>
        <w:rPr>
          <w:rFonts w:ascii="楷体_GB2312" w:eastAsia="楷体_GB2312"/>
          <w:sz w:val="32"/>
          <w:szCs w:val="32"/>
        </w:rPr>
      </w:pPr>
      <w:r>
        <w:rPr>
          <w:rFonts w:hint="eastAsia" w:ascii="楷体_GB2312" w:eastAsia="楷体_GB2312"/>
          <w:sz w:val="32"/>
          <w:szCs w:val="32"/>
          <w:lang w:val="en-US" w:eastAsia="zh-CN"/>
        </w:rPr>
        <w:t>1</w:t>
      </w:r>
      <w:r>
        <w:rPr>
          <w:rFonts w:hint="eastAsia" w:ascii="楷体_GB2312" w:eastAsia="楷体_GB2312"/>
          <w:sz w:val="32"/>
          <w:szCs w:val="32"/>
        </w:rPr>
        <w:t>.“外贸企业品牌和标准体系建设”支持项目</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（1）已取得出口相关资格的外贸出口企业；</w:t>
      </w:r>
    </w:p>
    <w:p>
      <w:pPr>
        <w:keepNext w:val="0"/>
        <w:keepLines w:val="0"/>
        <w:pageBreakBefore w:val="0"/>
        <w:widowControl w:val="0"/>
        <w:kinsoku/>
        <w:wordWrap/>
        <w:overflowPunct/>
        <w:topLinePunct w:val="0"/>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（2）已建立或即将建立企业自主品牌,初步</w:t>
      </w:r>
      <w:r>
        <w:rPr>
          <w:rFonts w:hint="eastAsia" w:ascii="仿宋_GB2312" w:eastAsia="仿宋_GB2312"/>
          <w:kern w:val="0"/>
          <w:sz w:val="32"/>
          <w:szCs w:val="32"/>
        </w:rPr>
        <w:t>建设国内营销渠道和国内市场物流体系；</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hint="eastAsia" w:ascii="仿宋_GB2312" w:eastAsia="仿宋_GB2312"/>
          <w:kern w:val="0"/>
          <w:sz w:val="32"/>
          <w:szCs w:val="32"/>
        </w:rPr>
      </w:pPr>
      <w:r>
        <w:rPr>
          <w:rFonts w:hint="eastAsia" w:ascii="仿宋_GB2312" w:eastAsia="仿宋_GB2312"/>
          <w:kern w:val="0"/>
          <w:sz w:val="32"/>
          <w:szCs w:val="32"/>
        </w:rPr>
        <w:t>（3）在同一条生产线上，按照相同的标准生产出口和</w:t>
      </w:r>
      <w:r>
        <w:fldChar w:fldCharType="begin"/>
      </w:r>
      <w:r>
        <w:instrText xml:space="preserve"> HYPERLINK "https://baike.so.com/doc/6492768-6706478.html" </w:instrText>
      </w:r>
      <w:r>
        <w:fldChar w:fldCharType="separate"/>
      </w:r>
      <w:r>
        <w:rPr>
          <w:rFonts w:hint="eastAsia" w:ascii="仿宋_GB2312" w:eastAsia="仿宋_GB2312"/>
          <w:sz w:val="32"/>
          <w:szCs w:val="32"/>
        </w:rPr>
        <w:t>内销</w:t>
      </w:r>
      <w:r>
        <w:rPr>
          <w:rFonts w:hint="eastAsia" w:ascii="仿宋_GB2312" w:eastAsia="仿宋_GB2312"/>
          <w:sz w:val="32"/>
          <w:szCs w:val="32"/>
        </w:rPr>
        <w:fldChar w:fldCharType="end"/>
      </w:r>
      <w:r>
        <w:rPr>
          <w:rFonts w:hint="eastAsia" w:ascii="仿宋_GB2312" w:eastAsia="仿宋_GB2312"/>
          <w:kern w:val="0"/>
          <w:sz w:val="32"/>
          <w:szCs w:val="32"/>
        </w:rPr>
        <w:t>产品，内销产品与出口产品同品质，达到国外市场的准入标准。</w:t>
      </w:r>
    </w:p>
    <w:p>
      <w:pPr>
        <w:keepNext w:val="0"/>
        <w:keepLines w:val="0"/>
        <w:pageBreakBefore w:val="0"/>
        <w:widowControl w:val="0"/>
        <w:kinsoku/>
        <w:wordWrap/>
        <w:overflowPunct/>
        <w:topLinePunct w:val="0"/>
        <w:autoSpaceDE w:val="0"/>
        <w:autoSpaceDN/>
        <w:bidi w:val="0"/>
        <w:adjustRightInd/>
        <w:snapToGrid/>
        <w:spacing w:line="560" w:lineRule="exact"/>
        <w:ind w:firstLine="640"/>
        <w:textAlignment w:val="auto"/>
        <w:rPr>
          <w:rFonts w:ascii="楷体_GB2312" w:eastAsia="楷体_GB2312"/>
          <w:sz w:val="32"/>
          <w:szCs w:val="32"/>
        </w:rPr>
      </w:pPr>
      <w:r>
        <w:rPr>
          <w:rFonts w:hint="eastAsia" w:ascii="楷体_GB2312" w:eastAsia="楷体_GB2312"/>
          <w:sz w:val="32"/>
          <w:szCs w:val="32"/>
          <w:lang w:val="en-US" w:eastAsia="zh-CN"/>
        </w:rPr>
        <w:t>2</w:t>
      </w:r>
      <w:r>
        <w:rPr>
          <w:rFonts w:hint="eastAsia" w:ascii="楷体_GB2312" w:eastAsia="楷体_GB2312"/>
          <w:sz w:val="32"/>
          <w:szCs w:val="32"/>
        </w:rPr>
        <w:t>.“外贸产品展销活动”支持项目</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eastAsia="仿宋_GB2312"/>
          <w:kern w:val="0"/>
          <w:sz w:val="32"/>
          <w:szCs w:val="32"/>
        </w:rPr>
      </w:pPr>
      <w:r>
        <w:rPr>
          <w:rFonts w:hint="eastAsia" w:ascii="仿宋_GB2312" w:eastAsia="仿宋_GB2312"/>
          <w:sz w:val="32"/>
          <w:szCs w:val="32"/>
        </w:rPr>
        <w:t>（1）由具有独立法人资格的企业、事业单位或其他社会组织举办；</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outlineLvl w:val="0"/>
        <w:rPr>
          <w:rFonts w:ascii="仿宋_GB2312" w:eastAsia="仿宋_GB2312"/>
          <w:sz w:val="32"/>
          <w:szCs w:val="32"/>
        </w:rPr>
      </w:pPr>
      <w:r>
        <w:rPr>
          <w:rFonts w:hint="eastAsia" w:ascii="仿宋_GB2312" w:eastAsia="仿宋_GB2312"/>
          <w:sz w:val="32"/>
          <w:szCs w:val="32"/>
        </w:rPr>
        <w:t>（2）举办外贸产品专场展会；</w:t>
      </w:r>
    </w:p>
    <w:p>
      <w:pPr>
        <w:pStyle w:val="3"/>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pPr>
      <w:r>
        <w:rPr>
          <w:rFonts w:hint="eastAsia" w:ascii="仿宋_GB2312" w:eastAsia="仿宋_GB2312"/>
          <w:sz w:val="32"/>
          <w:szCs w:val="32"/>
        </w:rPr>
        <w:t>（3）参展的外贸出口企业不少于50家。</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楷体_GB2312" w:eastAsia="楷体_GB2312"/>
          <w:bCs/>
          <w:sz w:val="32"/>
          <w:szCs w:val="32"/>
        </w:rPr>
      </w:pPr>
      <w:r>
        <w:rPr>
          <w:rFonts w:hint="eastAsia" w:ascii="楷体_GB2312" w:eastAsia="楷体_GB2312"/>
          <w:bCs/>
          <w:sz w:val="32"/>
          <w:szCs w:val="32"/>
          <w:lang w:val="en-US" w:eastAsia="zh-CN"/>
        </w:rPr>
        <w:t>3</w:t>
      </w:r>
      <w:r>
        <w:rPr>
          <w:rFonts w:hint="eastAsia" w:ascii="楷体_GB2312" w:eastAsia="楷体_GB2312"/>
          <w:bCs/>
          <w:sz w:val="32"/>
          <w:szCs w:val="32"/>
        </w:rPr>
        <w:t>.“外贸企业触网上云”支持项目</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（1）已取得出口相关资格，属于外贸出口企业；</w:t>
      </w:r>
    </w:p>
    <w:p>
      <w:pPr>
        <w:keepNext w:val="0"/>
        <w:keepLines w:val="0"/>
        <w:pageBreakBefore w:val="0"/>
        <w:widowControl w:val="0"/>
        <w:kinsoku/>
        <w:wordWrap/>
        <w:overflowPunct/>
        <w:topLinePunct w:val="0"/>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（2）在淘宝、天猫、京东、亚马逊、苏宁易购、唯品会、当当网、拼多多等大型电商平台设立旗舰店（自营），或通过互联网平台开展工厂直播、新品上线、流量宣传等市场推广；</w:t>
      </w:r>
    </w:p>
    <w:p>
      <w:pPr>
        <w:keepNext w:val="0"/>
        <w:keepLines w:val="0"/>
        <w:pageBreakBefore w:val="0"/>
        <w:widowControl w:val="0"/>
        <w:kinsoku/>
        <w:wordWrap/>
        <w:overflowPunct/>
        <w:topLinePunct w:val="0"/>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（3）通过电商平台、互联网平台实现销售额500万元（含）以上。</w:t>
      </w:r>
    </w:p>
    <w:p>
      <w:pPr>
        <w:keepNext w:val="0"/>
        <w:keepLines w:val="0"/>
        <w:pageBreakBefore w:val="0"/>
        <w:widowControl w:val="0"/>
        <w:kinsoku/>
        <w:wordWrap/>
        <w:overflowPunct/>
        <w:topLinePunct w:val="0"/>
        <w:autoSpaceDN/>
        <w:bidi w:val="0"/>
        <w:adjustRightInd/>
        <w:snapToGrid/>
        <w:spacing w:line="560" w:lineRule="exact"/>
        <w:ind w:firstLine="640"/>
        <w:textAlignment w:val="auto"/>
        <w:rPr>
          <w:rFonts w:ascii="仿宋_GB2312" w:eastAsia="仿宋_GB2312"/>
          <w:sz w:val="32"/>
          <w:szCs w:val="32"/>
        </w:rPr>
      </w:pPr>
      <w:r>
        <w:rPr>
          <w:rFonts w:ascii="仿宋_GB2312" w:eastAsia="仿宋_GB2312"/>
          <w:sz w:val="32"/>
          <w:szCs w:val="32"/>
        </w:rPr>
        <w:t>特别说明：以上</w:t>
      </w:r>
      <w:r>
        <w:rPr>
          <w:rFonts w:hint="eastAsia" w:ascii="仿宋_GB2312" w:eastAsia="仿宋_GB2312"/>
          <w:sz w:val="32"/>
          <w:szCs w:val="32"/>
        </w:rPr>
        <w:t>项目</w:t>
      </w:r>
      <w:r>
        <w:rPr>
          <w:rFonts w:hint="eastAsia" w:ascii="仿宋_GB2312" w:eastAsia="仿宋_GB2312"/>
          <w:sz w:val="32"/>
          <w:szCs w:val="32"/>
          <w:lang w:val="en-US" w:eastAsia="zh-CN"/>
        </w:rPr>
        <w:t>3</w:t>
      </w:r>
      <w:r>
        <w:rPr>
          <w:rFonts w:hint="eastAsia" w:ascii="仿宋_GB2312" w:eastAsia="仿宋_GB2312"/>
          <w:sz w:val="32"/>
          <w:szCs w:val="32"/>
        </w:rPr>
        <w:t>中</w:t>
      </w:r>
      <w:r>
        <w:rPr>
          <w:rFonts w:ascii="仿宋_GB2312" w:eastAsia="仿宋_GB2312"/>
          <w:sz w:val="32"/>
          <w:szCs w:val="32"/>
        </w:rPr>
        <w:t>所指“商品零售额”均以统计部门数据</w:t>
      </w:r>
      <w:r>
        <w:rPr>
          <w:rFonts w:hint="eastAsia" w:ascii="仿宋_GB2312" w:eastAsia="仿宋_GB2312"/>
          <w:sz w:val="32"/>
          <w:szCs w:val="32"/>
        </w:rPr>
        <w:t>或企业增值税纳税数据为准。</w:t>
      </w:r>
    </w:p>
    <w:p>
      <w:pPr>
        <w:keepNext w:val="0"/>
        <w:keepLines w:val="0"/>
        <w:pageBreakBefore w:val="0"/>
        <w:widowControl w:val="0"/>
        <w:kinsoku/>
        <w:wordWrap/>
        <w:overflowPunct/>
        <w:topLinePunct w:val="0"/>
        <w:autoSpaceDN/>
        <w:bidi w:val="0"/>
        <w:adjustRightInd/>
        <w:snapToGrid/>
        <w:spacing w:line="560" w:lineRule="exact"/>
        <w:ind w:firstLine="630"/>
        <w:textAlignment w:val="auto"/>
      </w:pPr>
      <w:r>
        <w:rPr>
          <w:rFonts w:hint="eastAsia" w:ascii="黑体" w:hAnsi="黑体" w:eastAsia="黑体" w:cs="黑体"/>
          <w:bCs/>
          <w:sz w:val="32"/>
          <w:szCs w:val="32"/>
        </w:rPr>
        <w:t>五、支持内容和支持标准</w:t>
      </w:r>
    </w:p>
    <w:p>
      <w:pPr>
        <w:keepNext w:val="0"/>
        <w:keepLines w:val="0"/>
        <w:pageBreakBefore w:val="0"/>
        <w:widowControl w:val="0"/>
        <w:kinsoku/>
        <w:wordWrap/>
        <w:overflowPunct/>
        <w:topLinePunct w:val="0"/>
        <w:autoSpaceDN/>
        <w:bidi w:val="0"/>
        <w:adjustRightInd/>
        <w:snapToGrid/>
        <w:spacing w:line="560" w:lineRule="exact"/>
        <w:ind w:firstLine="640"/>
        <w:textAlignment w:val="auto"/>
        <w:rPr>
          <w:rFonts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一</w:t>
      </w:r>
      <w:r>
        <w:rPr>
          <w:rFonts w:hint="eastAsia" w:ascii="楷体_GB2312" w:eastAsia="楷体_GB2312"/>
          <w:sz w:val="32"/>
          <w:szCs w:val="32"/>
        </w:rPr>
        <w:t>）“外贸企业品牌和标准体系建设”支持项目</w:t>
      </w:r>
    </w:p>
    <w:p>
      <w:pPr>
        <w:keepNext w:val="0"/>
        <w:keepLines w:val="0"/>
        <w:pageBreakBefore w:val="0"/>
        <w:widowControl w:val="0"/>
        <w:kinsoku/>
        <w:wordWrap/>
        <w:overflowPunct/>
        <w:topLinePunct w:val="0"/>
        <w:autoSpaceDN/>
        <w:bidi w:val="0"/>
        <w:adjustRightInd/>
        <w:snapToGrid/>
        <w:spacing w:line="560" w:lineRule="exact"/>
        <w:ind w:firstLine="630"/>
        <w:textAlignment w:val="auto"/>
        <w:rPr>
          <w:rFonts w:ascii="仿宋_GB2312" w:eastAsia="仿宋_GB2312"/>
          <w:kern w:val="0"/>
          <w:sz w:val="32"/>
          <w:szCs w:val="32"/>
        </w:rPr>
      </w:pPr>
      <w:r>
        <w:rPr>
          <w:rFonts w:hint="eastAsia" w:ascii="仿宋_GB2312" w:eastAsia="仿宋_GB2312"/>
          <w:b/>
          <w:sz w:val="32"/>
          <w:szCs w:val="32"/>
        </w:rPr>
        <w:t>支持内容：</w:t>
      </w:r>
      <w:r>
        <w:rPr>
          <w:rFonts w:hint="eastAsia" w:ascii="仿宋_GB2312" w:eastAsia="仿宋_GB2312"/>
          <w:kern w:val="0"/>
          <w:sz w:val="32"/>
          <w:szCs w:val="32"/>
        </w:rPr>
        <w:t>支持外贸企业建设国内营销渠道和自主品牌，加强国内市场物流体系建设，高效对接物流供应链，畅通内销渠道，打通内外贸“堵点”，加速外贸产品进入国内市场。</w:t>
      </w:r>
    </w:p>
    <w:p>
      <w:pPr>
        <w:keepNext w:val="0"/>
        <w:keepLines w:val="0"/>
        <w:pageBreakBefore w:val="0"/>
        <w:widowControl w:val="0"/>
        <w:kinsoku/>
        <w:wordWrap/>
        <w:overflowPunct/>
        <w:topLinePunct w:val="0"/>
        <w:autoSpaceDN/>
        <w:bidi w:val="0"/>
        <w:adjustRightInd/>
        <w:snapToGrid/>
        <w:spacing w:line="560" w:lineRule="exact"/>
        <w:ind w:firstLine="630"/>
        <w:textAlignment w:val="auto"/>
        <w:rPr>
          <w:rFonts w:ascii="仿宋_GB2312" w:eastAsia="仿宋_GB2312"/>
          <w:sz w:val="32"/>
          <w:szCs w:val="32"/>
        </w:rPr>
      </w:pPr>
      <w:r>
        <w:rPr>
          <w:rFonts w:hint="eastAsia" w:ascii="仿宋_GB2312" w:eastAsia="仿宋_GB2312"/>
          <w:b/>
          <w:sz w:val="32"/>
          <w:szCs w:val="32"/>
        </w:rPr>
        <w:t>支持标准：</w:t>
      </w:r>
      <w:r>
        <w:rPr>
          <w:rFonts w:hint="eastAsia" w:ascii="仿宋_GB2312" w:eastAsia="仿宋_GB2312"/>
          <w:sz w:val="32"/>
          <w:szCs w:val="32"/>
        </w:rPr>
        <w:t>对外贸企业品牌在产品标准转换、自主品牌建设和物流体系建设等方面的投入（包括用于品牌建设、产品设计、营销渠道拓展、物流体系建设的设备购置、物流成本、质检费用、标准认定费用、知识产权、广告推广等）按50%给予资助，单个企业资助上限200万元</w:t>
      </w:r>
      <w:r>
        <w:rPr>
          <w:rFonts w:hint="eastAsia" w:ascii="仿宋_GB2312" w:eastAsia="仿宋_GB2312"/>
          <w:kern w:val="0"/>
          <w:sz w:val="32"/>
          <w:szCs w:val="32"/>
          <w:lang w:eastAsia="zh-CN"/>
        </w:rPr>
        <w:t>（</w:t>
      </w:r>
      <w:r>
        <w:rPr>
          <w:rFonts w:hint="eastAsia" w:ascii="仿宋_GB2312" w:eastAsia="仿宋_GB2312"/>
          <w:kern w:val="0"/>
          <w:sz w:val="32"/>
          <w:szCs w:val="32"/>
        </w:rPr>
        <w:t>本项目资助金额以万元为单位进行资助，不保留小数点，不四舍五入</w:t>
      </w:r>
      <w:r>
        <w:rPr>
          <w:rFonts w:hint="eastAsia" w:ascii="仿宋_GB2312" w:eastAsia="仿宋_GB2312"/>
          <w:kern w:val="0"/>
          <w:sz w:val="32"/>
          <w:szCs w:val="32"/>
          <w:lang w:eastAsia="zh-CN"/>
        </w:rPr>
        <w:t>）</w:t>
      </w:r>
      <w:r>
        <w:rPr>
          <w:rFonts w:hint="eastAsia" w:ascii="仿宋_GB2312" w:eastAsia="仿宋_GB2312"/>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二</w:t>
      </w:r>
      <w:r>
        <w:rPr>
          <w:rFonts w:hint="eastAsia" w:ascii="楷体_GB2312" w:eastAsia="楷体_GB2312"/>
          <w:sz w:val="32"/>
          <w:szCs w:val="32"/>
        </w:rPr>
        <w:t>）“外贸产品展销活动”支持项目</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ascii="仿宋_GB2312" w:eastAsia="仿宋_GB2312"/>
          <w:sz w:val="32"/>
          <w:szCs w:val="32"/>
        </w:rPr>
      </w:pPr>
      <w:r>
        <w:rPr>
          <w:rFonts w:hint="eastAsia" w:ascii="仿宋_GB2312" w:eastAsia="仿宋_GB2312"/>
          <w:b/>
          <w:sz w:val="32"/>
          <w:szCs w:val="32"/>
        </w:rPr>
        <w:t>支持内容：</w:t>
      </w:r>
      <w:r>
        <w:rPr>
          <w:rFonts w:hint="eastAsia" w:ascii="仿宋_GB2312" w:eastAsia="仿宋_GB2312"/>
          <w:bCs/>
          <w:sz w:val="32"/>
          <w:szCs w:val="32"/>
        </w:rPr>
        <w:t>支持举办外贸企业内销对接和外贸产品展销活动，</w:t>
      </w:r>
      <w:r>
        <w:rPr>
          <w:rFonts w:hint="eastAsia" w:ascii="仿宋_GB2312" w:eastAsia="仿宋_GB2312"/>
          <w:kern w:val="0"/>
          <w:sz w:val="32"/>
          <w:szCs w:val="32"/>
        </w:rPr>
        <w:t>鼓励外贸企业参加国内商品展销会，在市内大型商场开展“外贸精品周”系列活动，帮助外贸企业拓展内销市场。</w:t>
      </w:r>
    </w:p>
    <w:p>
      <w:pPr>
        <w:keepNext w:val="0"/>
        <w:keepLines w:val="0"/>
        <w:pageBreakBefore w:val="0"/>
        <w:widowControl w:val="0"/>
        <w:kinsoku/>
        <w:wordWrap/>
        <w:overflowPunct/>
        <w:topLinePunct w:val="0"/>
        <w:autoSpaceDN/>
        <w:bidi w:val="0"/>
        <w:adjustRightInd/>
        <w:snapToGrid/>
        <w:spacing w:line="560" w:lineRule="exact"/>
        <w:ind w:firstLine="630"/>
        <w:textAlignment w:val="auto"/>
        <w:rPr>
          <w:rFonts w:ascii="楷体_GB2312" w:eastAsia="楷体_GB2312"/>
          <w:sz w:val="32"/>
          <w:szCs w:val="32"/>
        </w:rPr>
      </w:pPr>
      <w:r>
        <w:rPr>
          <w:rFonts w:hint="eastAsia" w:ascii="仿宋_GB2312" w:eastAsia="仿宋_GB2312"/>
          <w:b/>
          <w:sz w:val="32"/>
          <w:szCs w:val="32"/>
        </w:rPr>
        <w:t>支持标准：</w:t>
      </w:r>
      <w:r>
        <w:rPr>
          <w:rFonts w:hint="eastAsia" w:ascii="仿宋_GB2312" w:eastAsia="仿宋_GB2312"/>
          <w:sz w:val="32"/>
          <w:szCs w:val="32"/>
        </w:rPr>
        <w:t>对举办大型外贸产品展销活动给予每场最高100万元资助</w:t>
      </w:r>
      <w:r>
        <w:rPr>
          <w:rFonts w:hint="eastAsia" w:ascii="仿宋_GB2312" w:eastAsia="仿宋_GB2312"/>
          <w:kern w:val="0"/>
          <w:sz w:val="32"/>
          <w:szCs w:val="32"/>
          <w:lang w:eastAsia="zh-CN"/>
        </w:rPr>
        <w:t>（</w:t>
      </w:r>
      <w:r>
        <w:rPr>
          <w:rFonts w:hint="eastAsia" w:ascii="仿宋_GB2312" w:eastAsia="仿宋_GB2312"/>
          <w:kern w:val="0"/>
          <w:sz w:val="32"/>
          <w:szCs w:val="32"/>
        </w:rPr>
        <w:t>本项目资助金额以万元为单位进行资助，不保留小数点，不四舍五入</w:t>
      </w:r>
      <w:r>
        <w:rPr>
          <w:rFonts w:hint="eastAsia" w:ascii="仿宋_GB2312" w:eastAsia="仿宋_GB2312"/>
          <w:kern w:val="0"/>
          <w:sz w:val="32"/>
          <w:szCs w:val="32"/>
          <w:lang w:eastAsia="zh-CN"/>
        </w:rPr>
        <w:t>）</w:t>
      </w:r>
      <w:r>
        <w:rPr>
          <w:rFonts w:hint="eastAsia" w:ascii="仿宋_GB2312" w:eastAsia="仿宋_GB2312"/>
          <w:kern w:val="0"/>
          <w:sz w:val="32"/>
          <w:szCs w:val="32"/>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eastAsia="zh-CN"/>
        </w:rPr>
        <w:t>三</w:t>
      </w:r>
      <w:r>
        <w:rPr>
          <w:rFonts w:hint="eastAsia" w:ascii="楷体_GB2312" w:eastAsia="楷体_GB2312"/>
          <w:sz w:val="32"/>
          <w:szCs w:val="32"/>
        </w:rPr>
        <w:t>）“外贸企业触网上云”支持项目</w:t>
      </w:r>
    </w:p>
    <w:p>
      <w:pPr>
        <w:keepNext w:val="0"/>
        <w:keepLines w:val="0"/>
        <w:pageBreakBefore w:val="0"/>
        <w:widowControl w:val="0"/>
        <w:kinsoku/>
        <w:wordWrap/>
        <w:overflowPunct/>
        <w:topLinePunct w:val="0"/>
        <w:autoSpaceDE w:val="0"/>
        <w:autoSpaceDN/>
        <w:bidi w:val="0"/>
        <w:adjustRightInd/>
        <w:snapToGrid/>
        <w:spacing w:line="560" w:lineRule="exact"/>
        <w:ind w:firstLine="643" w:firstLineChars="200"/>
        <w:textAlignment w:val="auto"/>
        <w:rPr>
          <w:rFonts w:ascii="仿宋_GB2312" w:eastAsia="仿宋_GB2312"/>
          <w:kern w:val="0"/>
          <w:sz w:val="32"/>
          <w:szCs w:val="32"/>
        </w:rPr>
      </w:pPr>
      <w:r>
        <w:rPr>
          <w:rFonts w:hint="eastAsia" w:ascii="仿宋_GB2312" w:eastAsia="仿宋_GB2312"/>
          <w:b/>
          <w:sz w:val="32"/>
          <w:szCs w:val="32"/>
        </w:rPr>
        <w:t>支持内容：</w:t>
      </w:r>
      <w:r>
        <w:rPr>
          <w:rFonts w:hint="eastAsia" w:ascii="仿宋_GB2312" w:eastAsia="仿宋_GB2312"/>
          <w:sz w:val="32"/>
          <w:szCs w:val="32"/>
        </w:rPr>
        <w:t>支持大型外贸企业在电商平台开设旗舰店，鼓励中小型外贸企业通过互联网平台多渠道拓展国内市场。</w:t>
      </w:r>
    </w:p>
    <w:p>
      <w:pPr>
        <w:keepNext w:val="0"/>
        <w:keepLines w:val="0"/>
        <w:pageBreakBefore w:val="0"/>
        <w:widowControl w:val="0"/>
        <w:kinsoku/>
        <w:wordWrap/>
        <w:overflowPunct/>
        <w:topLinePunct w:val="0"/>
        <w:autoSpaceDN/>
        <w:bidi w:val="0"/>
        <w:adjustRightInd/>
        <w:snapToGrid/>
        <w:spacing w:line="560" w:lineRule="exact"/>
        <w:ind w:firstLine="630"/>
        <w:textAlignment w:val="auto"/>
        <w:rPr>
          <w:rFonts w:hint="eastAsia" w:ascii="仿宋_GB2312" w:eastAsia="仿宋_GB2312"/>
          <w:sz w:val="32"/>
          <w:szCs w:val="32"/>
        </w:rPr>
      </w:pPr>
      <w:r>
        <w:rPr>
          <w:rFonts w:hint="eastAsia" w:ascii="仿宋_GB2312" w:eastAsia="仿宋_GB2312"/>
          <w:b/>
          <w:sz w:val="32"/>
          <w:szCs w:val="32"/>
        </w:rPr>
        <w:t>支持标准：</w:t>
      </w:r>
      <w:r>
        <w:rPr>
          <w:rFonts w:hint="eastAsia" w:ascii="仿宋_GB2312" w:eastAsia="仿宋_GB2312"/>
          <w:sz w:val="32"/>
          <w:szCs w:val="32"/>
        </w:rPr>
        <w:t>对外贸企业在电商平台开设旗舰店、微店等及相关费用（包括开店费用、店铺运营费用、推广费用、购买线上培训课程费用等）的50%给予资助，</w:t>
      </w:r>
      <w:r>
        <w:rPr>
          <w:rFonts w:hint="eastAsia" w:ascii="仿宋_GB2312" w:eastAsia="仿宋_GB2312"/>
          <w:kern w:val="0"/>
          <w:sz w:val="32"/>
          <w:szCs w:val="32"/>
        </w:rPr>
        <w:t>单个企业</w:t>
      </w:r>
      <w:r>
        <w:rPr>
          <w:rFonts w:hint="eastAsia" w:ascii="仿宋_GB2312" w:eastAsia="仿宋_GB2312"/>
          <w:sz w:val="32"/>
          <w:szCs w:val="32"/>
        </w:rPr>
        <w:t>资助上限100万元</w:t>
      </w:r>
      <w:r>
        <w:rPr>
          <w:rFonts w:hint="eastAsia" w:ascii="仿宋_GB2312" w:eastAsia="仿宋_GB2312"/>
          <w:kern w:val="0"/>
          <w:sz w:val="32"/>
          <w:szCs w:val="32"/>
          <w:lang w:eastAsia="zh-CN"/>
        </w:rPr>
        <w:t>（</w:t>
      </w:r>
      <w:r>
        <w:rPr>
          <w:rFonts w:hint="eastAsia" w:ascii="仿宋_GB2312" w:eastAsia="仿宋_GB2312"/>
          <w:kern w:val="0"/>
          <w:sz w:val="32"/>
          <w:szCs w:val="32"/>
        </w:rPr>
        <w:t>本项目资助金额以万元为单位进行资助，不保留小数点，不四舍五入</w:t>
      </w:r>
      <w:r>
        <w:rPr>
          <w:rFonts w:hint="eastAsia" w:ascii="仿宋_GB2312" w:eastAsia="仿宋_GB2312"/>
          <w:kern w:val="0"/>
          <w:sz w:val="32"/>
          <w:szCs w:val="32"/>
          <w:lang w:eastAsia="zh-CN"/>
        </w:rPr>
        <w:t>）</w:t>
      </w:r>
      <w:r>
        <w:rPr>
          <w:rFonts w:hint="eastAsia" w:ascii="仿宋_GB2312" w:eastAsia="仿宋_GB2312"/>
          <w:sz w:val="32"/>
          <w:szCs w:val="32"/>
        </w:rPr>
        <w:t>。</w:t>
      </w:r>
    </w:p>
    <w:p>
      <w:pPr>
        <w:keepNext w:val="0"/>
        <w:keepLines w:val="0"/>
        <w:pageBreakBefore w:val="0"/>
        <w:widowControl w:val="0"/>
        <w:kinsoku/>
        <w:wordWrap/>
        <w:overflowPunct/>
        <w:topLinePunct w:val="0"/>
        <w:autoSpaceDN/>
        <w:bidi w:val="0"/>
        <w:adjustRightInd/>
        <w:snapToGrid/>
        <w:spacing w:line="560" w:lineRule="exact"/>
        <w:ind w:firstLine="645"/>
        <w:textAlignment w:val="auto"/>
        <w:rPr>
          <w:rFonts w:ascii="黑体" w:hAnsi="黑体" w:eastAsia="黑体"/>
          <w:sz w:val="32"/>
          <w:szCs w:val="32"/>
        </w:rPr>
      </w:pPr>
      <w:r>
        <w:rPr>
          <w:rFonts w:hint="eastAsia" w:ascii="黑体" w:hAnsi="黑体" w:eastAsia="黑体"/>
          <w:sz w:val="32"/>
          <w:szCs w:val="32"/>
        </w:rPr>
        <w:t>六、申报材料</w:t>
      </w:r>
    </w:p>
    <w:p>
      <w:pPr>
        <w:keepNext w:val="0"/>
        <w:keepLines w:val="0"/>
        <w:pageBreakBefore w:val="0"/>
        <w:widowControl w:val="0"/>
        <w:kinsoku/>
        <w:wordWrap/>
        <w:overflowPunct/>
        <w:topLinePunct w:val="0"/>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申报材料由基础材料和项目材料两部分组成。</w:t>
      </w:r>
    </w:p>
    <w:p>
      <w:pPr>
        <w:keepNext w:val="0"/>
        <w:keepLines w:val="0"/>
        <w:pageBreakBefore w:val="0"/>
        <w:widowControl w:val="0"/>
        <w:kinsoku/>
        <w:wordWrap/>
        <w:overflowPunct/>
        <w:topLinePunct w:val="0"/>
        <w:autoSpaceDN/>
        <w:bidi w:val="0"/>
        <w:adjustRightInd/>
        <w:snapToGrid/>
        <w:spacing w:line="560" w:lineRule="exact"/>
        <w:ind w:firstLine="645"/>
        <w:textAlignment w:val="auto"/>
        <w:rPr>
          <w:rFonts w:ascii="楷体_GB2312" w:eastAsia="楷体_GB2312"/>
          <w:sz w:val="32"/>
          <w:szCs w:val="32"/>
        </w:rPr>
      </w:pPr>
      <w:r>
        <w:rPr>
          <w:rFonts w:hint="eastAsia" w:ascii="楷体_GB2312" w:eastAsia="楷体_GB2312"/>
          <w:sz w:val="32"/>
          <w:szCs w:val="32"/>
        </w:rPr>
        <w:t>（一）基础材料：</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1.登录广东政务服务网在线填报申请书（网址：（网址：</w:t>
      </w:r>
      <w:r>
        <w:rPr>
          <w:rFonts w:ascii="Times New Roman" w:hAnsi="Times New Roman" w:eastAsia="仿宋_GB2312"/>
          <w:sz w:val="32"/>
          <w:szCs w:val="32"/>
        </w:rPr>
        <w:t>http://</w:t>
      </w:r>
      <w:r>
        <w:rPr>
          <w:rFonts w:hint="eastAsia" w:ascii="Times New Roman" w:hAnsi="Times New Roman" w:eastAsia="仿宋_GB2312"/>
          <w:sz w:val="32"/>
          <w:szCs w:val="32"/>
        </w:rPr>
        <w:t>www.gdzwfw.gov.cn/</w:t>
      </w:r>
      <w:r>
        <w:rPr>
          <w:rFonts w:hint="eastAsia" w:ascii="仿宋_GB2312" w:eastAsia="仿宋_GB2312"/>
          <w:sz w:val="32"/>
          <w:szCs w:val="32"/>
        </w:rPr>
        <w:t>），提供通过该系统打印的申请书纸质文件原件；</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2.统一社会信用代码证复印件;</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3.企业信用报告（企业自行登陆“广东信用网”打印）。</w:t>
      </w:r>
    </w:p>
    <w:p>
      <w:pPr>
        <w:keepNext w:val="0"/>
        <w:keepLines w:val="0"/>
        <w:pageBreakBefore w:val="0"/>
        <w:widowControl w:val="0"/>
        <w:kinsoku/>
        <w:wordWrap/>
        <w:overflowPunct/>
        <w:topLinePunct w:val="0"/>
        <w:autoSpaceDN/>
        <w:bidi w:val="0"/>
        <w:adjustRightInd/>
        <w:snapToGrid/>
        <w:spacing w:line="560" w:lineRule="exact"/>
        <w:ind w:firstLine="645"/>
        <w:textAlignment w:val="auto"/>
        <w:rPr>
          <w:rFonts w:ascii="楷体_GB2312" w:eastAsia="楷体_GB2312"/>
          <w:sz w:val="32"/>
          <w:szCs w:val="32"/>
        </w:rPr>
      </w:pPr>
      <w:r>
        <w:rPr>
          <w:rFonts w:hint="eastAsia" w:ascii="楷体_GB2312" w:eastAsia="楷体_GB2312"/>
          <w:sz w:val="32"/>
          <w:szCs w:val="32"/>
        </w:rPr>
        <w:t>（二）项目材料：</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.“外贸企业品牌和标准体系建设”支持项目</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（1）项目报告（包括但不限于项目基本情况、实施情况、取得成果等）；</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（2）正在注册中的品牌（商标）提供受理回执，已注册成功的提供品牌（商标）证书；</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（3）品牌设计、产品设计、知识产权等费用发票及佐证材料；</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（4）为满足内销标准所做的产品检测、标准认定的费用发票、检测报告、认定结果等；</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（5）物流配送协议及发票；自购物流设施的购入合同及购入发票；</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（6）开设线下店铺的租赁合同、租金打款证明，装修合同及发票，店铺门头照及内部照片。</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.“外贸产品展销活动”支持项目</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（1）项目报告（包括但不限于项目基本情况、实施情况、取得成果等）；</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（2）展会相关费用支出清单，外购服务、物料的合同及发票；</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（3）能体现展销产品的展位现场照片。</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.“外贸企业触网上云”支持项目</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（1）项目报告（包括但不限于项目基本情况、实施情况、取得成果等）；</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（2）申报企业开设的旗舰店、微店等截图和网址等；</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（3）与电商平台方签订的合同及发票；</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（4）广告、宣传合同，广告费、宣传费发票，广告、宣传等刊播图片；</w:t>
      </w:r>
    </w:p>
    <w:p>
      <w:pPr>
        <w:pStyle w:val="2"/>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eastAsia="仿宋_GB2312"/>
        </w:rPr>
      </w:pPr>
      <w:r>
        <w:rPr>
          <w:rFonts w:hint="eastAsia" w:ascii="仿宋_GB2312" w:eastAsia="仿宋_GB2312"/>
          <w:szCs w:val="32"/>
        </w:rPr>
        <w:t>（5）非限额以上“批发零售”纳统企业需提供第三方会计师事务所出具的销售数据审计报告或上年度增值税纳税明细。</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以上材料均需加盖申报单位公章，未注明收原件的均须提供复印件，多页的还需加盖骑缝公章；涉及外文的，需提供中文翻译件；一式两份，A4纸正反面打印/复印，非空白页（含封面）需连续编写页码，装订成册（胶装）。</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七、申请表格</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仿宋_GB2312" w:eastAsia="仿宋_GB2312"/>
          <w:sz w:val="32"/>
          <w:szCs w:val="32"/>
        </w:rPr>
        <w:t>本指南第六条规定的申请书和表格，登录广东政务服务网（网址：</w:t>
      </w:r>
      <w:r>
        <w:rPr>
          <w:rFonts w:ascii="Times New Roman" w:hAnsi="Times New Roman" w:eastAsia="仿宋_GB2312"/>
          <w:sz w:val="32"/>
          <w:szCs w:val="32"/>
        </w:rPr>
        <w:t>http://</w:t>
      </w:r>
      <w:r>
        <w:rPr>
          <w:rFonts w:hint="eastAsia" w:ascii="Times New Roman" w:hAnsi="Times New Roman" w:eastAsia="仿宋_GB2312"/>
          <w:sz w:val="32"/>
          <w:szCs w:val="32"/>
        </w:rPr>
        <w:t>www.gdzwfw.gov.cn/</w:t>
      </w:r>
      <w:r>
        <w:rPr>
          <w:rFonts w:hint="eastAsia" w:ascii="仿宋_GB2312" w:eastAsia="仿宋_GB2312"/>
          <w:sz w:val="32"/>
          <w:szCs w:val="32"/>
        </w:rPr>
        <w:t>）在线填报</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八、受理机关</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（一）受理机关：深圳市商务局</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（二）受理时间：</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Times New Roman" w:hAnsi="Times New Roman" w:eastAsia="仿宋_GB2312"/>
          <w:sz w:val="32"/>
          <w:szCs w:val="32"/>
        </w:rPr>
        <w:t>1.网络填报时间：</w:t>
      </w:r>
      <w:r>
        <w:rPr>
          <w:rFonts w:hint="eastAsia" w:ascii="仿宋_GB2312" w:hAnsi="宋体" w:eastAsia="仿宋_GB2312"/>
          <w:sz w:val="32"/>
          <w:szCs w:val="32"/>
          <w:highlight w:val="none"/>
        </w:rPr>
        <w:t>2021年</w:t>
      </w: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16</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09:00</w:t>
      </w:r>
      <w:r>
        <w:rPr>
          <w:rFonts w:hint="eastAsia" w:ascii="仿宋_GB2312" w:hAnsi="宋体" w:eastAsia="仿宋_GB2312"/>
          <w:sz w:val="32"/>
          <w:szCs w:val="32"/>
          <w:highlight w:val="none"/>
        </w:rPr>
        <w:t>—2021年</w:t>
      </w: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31</w:t>
      </w:r>
      <w:r>
        <w:rPr>
          <w:rFonts w:hint="eastAsia" w:ascii="仿宋_GB2312" w:hAnsi="宋体" w:eastAsia="仿宋_GB2312"/>
          <w:sz w:val="32"/>
          <w:szCs w:val="32"/>
          <w:highlight w:val="none"/>
        </w:rPr>
        <w:t>日1</w:t>
      </w:r>
      <w:r>
        <w:rPr>
          <w:rFonts w:hint="eastAsia" w:ascii="仿宋_GB2312" w:hAnsi="宋体" w:eastAsia="仿宋_GB2312"/>
          <w:sz w:val="32"/>
          <w:szCs w:val="32"/>
          <w:highlight w:val="none"/>
          <w:lang w:val="en-US" w:eastAsia="zh-CN"/>
        </w:rPr>
        <w:t>8</w:t>
      </w:r>
      <w:r>
        <w:rPr>
          <w:rFonts w:hint="eastAsia" w:ascii="仿宋_GB2312" w:hAnsi="宋体" w:eastAsia="仿宋_GB2312"/>
          <w:sz w:val="32"/>
          <w:szCs w:val="32"/>
          <w:highlight w:val="none"/>
        </w:rPr>
        <w:t>:00</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2.材料提交时间：</w:t>
      </w:r>
      <w:r>
        <w:rPr>
          <w:rFonts w:hint="eastAsia" w:ascii="仿宋_GB2312" w:hAnsi="宋体" w:eastAsia="仿宋_GB2312"/>
          <w:sz w:val="32"/>
          <w:szCs w:val="32"/>
          <w:highlight w:val="none"/>
        </w:rPr>
        <w:t>2021年</w:t>
      </w:r>
      <w:r>
        <w:rPr>
          <w:rFonts w:hint="eastAsia" w:ascii="仿宋_GB2312" w:hAnsi="宋体" w:eastAsia="仿宋_GB2312"/>
          <w:sz w:val="32"/>
          <w:szCs w:val="32"/>
          <w:highlight w:val="none"/>
          <w:lang w:val="en-US" w:eastAsia="zh-CN"/>
        </w:rPr>
        <w:t>7</w:t>
      </w:r>
      <w:r>
        <w:rPr>
          <w:rFonts w:hint="eastAsia" w:ascii="仿宋_GB2312" w:hAnsi="宋体" w:eastAsia="仿宋_GB2312"/>
          <w:sz w:val="32"/>
          <w:szCs w:val="32"/>
          <w:highlight w:val="none"/>
        </w:rPr>
        <w:t>月</w:t>
      </w:r>
      <w:r>
        <w:rPr>
          <w:rFonts w:hint="eastAsia" w:ascii="仿宋_GB2312" w:hAnsi="宋体" w:eastAsia="仿宋_GB2312"/>
          <w:sz w:val="32"/>
          <w:szCs w:val="32"/>
          <w:highlight w:val="none"/>
          <w:lang w:val="en-US" w:eastAsia="zh-CN"/>
        </w:rPr>
        <w:t>16</w:t>
      </w:r>
      <w:r>
        <w:rPr>
          <w:rFonts w:hint="eastAsia" w:ascii="仿宋_GB2312" w:hAnsi="宋体" w:eastAsia="仿宋_GB2312"/>
          <w:sz w:val="32"/>
          <w:szCs w:val="32"/>
          <w:highlight w:val="none"/>
        </w:rPr>
        <w:t>日</w:t>
      </w:r>
      <w:r>
        <w:rPr>
          <w:rFonts w:hint="eastAsia" w:ascii="仿宋_GB2312" w:hAnsi="宋体" w:eastAsia="仿宋_GB2312"/>
          <w:sz w:val="32"/>
          <w:szCs w:val="32"/>
          <w:highlight w:val="none"/>
          <w:lang w:val="en-US" w:eastAsia="zh-CN"/>
        </w:rPr>
        <w:t>09:00</w:t>
      </w:r>
      <w:r>
        <w:rPr>
          <w:rFonts w:hint="eastAsia" w:ascii="仿宋_GB2312" w:hAnsi="宋体" w:eastAsia="仿宋_GB2312"/>
          <w:sz w:val="32"/>
          <w:szCs w:val="32"/>
          <w:highlight w:val="none"/>
        </w:rPr>
        <w:t>—2021年</w:t>
      </w:r>
      <w:r>
        <w:rPr>
          <w:rFonts w:hint="eastAsia" w:ascii="仿宋_GB2312" w:hAnsi="宋体" w:eastAsia="仿宋_GB2312"/>
          <w:sz w:val="32"/>
          <w:szCs w:val="32"/>
          <w:highlight w:val="none"/>
          <w:lang w:val="en-US" w:eastAsia="zh-CN"/>
        </w:rPr>
        <w:t>8</w:t>
      </w:r>
      <w:r>
        <w:rPr>
          <w:rFonts w:hint="eastAsia" w:ascii="仿宋_GB2312" w:hAnsi="宋体" w:eastAsia="仿宋_GB2312" w:cs="Times New Roman"/>
          <w:sz w:val="32"/>
          <w:szCs w:val="32"/>
          <w:highlight w:val="none"/>
        </w:rPr>
        <w:t>月</w:t>
      </w:r>
      <w:r>
        <w:rPr>
          <w:rFonts w:hint="eastAsia" w:ascii="仿宋_GB2312" w:hAnsi="宋体" w:eastAsia="仿宋_GB2312" w:cs="Times New Roman"/>
          <w:sz w:val="32"/>
          <w:szCs w:val="32"/>
          <w:highlight w:val="none"/>
          <w:lang w:val="en-US" w:eastAsia="zh-CN"/>
        </w:rPr>
        <w:t>6</w:t>
      </w:r>
      <w:r>
        <w:rPr>
          <w:rFonts w:hint="eastAsia" w:ascii="仿宋_GB2312" w:hAnsi="宋体" w:eastAsia="仿宋_GB2312" w:cs="Times New Roman"/>
          <w:sz w:val="32"/>
          <w:szCs w:val="32"/>
          <w:highlight w:val="none"/>
        </w:rPr>
        <w:t>日18:00</w:t>
      </w:r>
      <w:r>
        <w:rPr>
          <w:rFonts w:hint="eastAsia" w:ascii="仿宋_GB2312" w:hAnsi="宋体" w:eastAsia="仿宋_GB2312" w:cs="Times New Roman"/>
          <w:sz w:val="32"/>
          <w:szCs w:val="32"/>
        </w:rPr>
        <w:t>(仅限工作日)</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申报单位在上述规定时间内在线填报、提交材料，逾期不予受理。</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（三）受理地点：深圳市福田区福中三路市民中心B区市行政服务大厅西厅综合窗口。</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（四）咨询电话：0755-</w:t>
      </w:r>
      <w:r>
        <w:rPr>
          <w:rFonts w:hint="eastAsia" w:ascii="仿宋_GB2312" w:eastAsia="仿宋_GB2312"/>
          <w:sz w:val="32"/>
          <w:szCs w:val="32"/>
          <w:lang w:val="en-US" w:eastAsia="zh-CN"/>
        </w:rPr>
        <w:t>88102384</w:t>
      </w:r>
      <w:r>
        <w:rPr>
          <w:rFonts w:hint="eastAsia" w:ascii="仿宋_GB2312" w:eastAsia="仿宋_GB2312"/>
          <w:sz w:val="32"/>
          <w:szCs w:val="32"/>
        </w:rPr>
        <w:t>，0755-88101050（工作日上午9:00-12:00，下午</w:t>
      </w:r>
      <w:r>
        <w:rPr>
          <w:rFonts w:hint="eastAsia" w:ascii="仿宋_GB2312" w:eastAsia="仿宋_GB2312"/>
          <w:sz w:val="32"/>
          <w:szCs w:val="32"/>
          <w:lang w:val="en-US" w:eastAsia="zh-CN"/>
        </w:rPr>
        <w:t>14</w:t>
      </w:r>
      <w:r>
        <w:rPr>
          <w:rFonts w:hint="eastAsia" w:ascii="仿宋_GB2312" w:eastAsia="仿宋_GB2312"/>
          <w:sz w:val="32"/>
          <w:szCs w:val="32"/>
        </w:rPr>
        <w:t>:00-</w:t>
      </w:r>
      <w:r>
        <w:rPr>
          <w:rFonts w:hint="eastAsia" w:ascii="仿宋_GB2312" w:eastAsia="仿宋_GB2312"/>
          <w:sz w:val="32"/>
          <w:szCs w:val="32"/>
          <w:lang w:val="en-US" w:eastAsia="zh-CN"/>
        </w:rPr>
        <w:t>18</w:t>
      </w:r>
      <w:r>
        <w:rPr>
          <w:rFonts w:hint="eastAsia" w:ascii="仿宋_GB2312" w:eastAsia="仿宋_GB2312"/>
          <w:sz w:val="32"/>
          <w:szCs w:val="32"/>
        </w:rPr>
        <w:t>:00）。</w:t>
      </w:r>
      <w:bookmarkStart w:id="0" w:name="_GoBack"/>
      <w:bookmarkEnd w:id="0"/>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九、申请决定机关</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深圳市商务局</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十、办理流程</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发布申请指南——申请单位网上申报——初审——申请单位向市行政服务大厅收文窗口提交申请材料——形式审查——资质审查</w:t>
      </w:r>
      <w:r>
        <w:rPr>
          <w:rFonts w:hint="eastAsia" w:ascii="仿宋_GB2312" w:eastAsia="仿宋_GB2312"/>
          <w:sz w:val="32"/>
          <w:szCs w:val="32"/>
          <w:lang w:eastAsia="zh-CN"/>
        </w:rPr>
        <w:t>——</w:t>
      </w:r>
      <w:r>
        <w:rPr>
          <w:rFonts w:hint="eastAsia" w:ascii="仿宋_GB2312" w:eastAsia="仿宋_GB2312"/>
          <w:sz w:val="32"/>
          <w:szCs w:val="32"/>
        </w:rPr>
        <w:t>专项审计——征求相关单位意见（</w:t>
      </w:r>
      <w:r>
        <w:rPr>
          <w:rFonts w:hint="eastAsia" w:ascii="仿宋_GB2312" w:hAnsi="仿宋" w:eastAsia="仿宋_GB2312"/>
          <w:sz w:val="32"/>
          <w:szCs w:val="32"/>
        </w:rPr>
        <w:t>根据需要核查比对：资质情况、统计数据，是否</w:t>
      </w:r>
      <w:r>
        <w:rPr>
          <w:rFonts w:hint="eastAsia" w:ascii="仿宋_GB2312" w:eastAsia="仿宋_GB2312"/>
          <w:sz w:val="32"/>
          <w:szCs w:val="32"/>
        </w:rPr>
        <w:t>存在重复资助情形、</w:t>
      </w:r>
      <w:r>
        <w:rPr>
          <w:rFonts w:hint="eastAsia" w:ascii="仿宋_GB2312" w:hAnsi="仿宋" w:eastAsia="仿宋_GB2312"/>
          <w:sz w:val="32"/>
          <w:szCs w:val="32"/>
        </w:rPr>
        <w:t>有无重大违法违规行为，</w:t>
      </w:r>
      <w:r>
        <w:rPr>
          <w:rFonts w:hint="eastAsia" w:ascii="仿宋_GB2312" w:eastAsia="仿宋_GB2312"/>
          <w:sz w:val="32"/>
          <w:szCs w:val="32"/>
        </w:rPr>
        <w:t>有否被列入失信联合惩戒名单，</w:t>
      </w:r>
      <w:r>
        <w:rPr>
          <w:rFonts w:hint="eastAsia" w:ascii="仿宋_GB2312" w:hAnsi="仿宋" w:eastAsia="仿宋_GB2312"/>
          <w:sz w:val="32"/>
          <w:szCs w:val="32"/>
        </w:rPr>
        <w:t>有无拖欠应缴还的财政性资金等情况</w:t>
      </w:r>
      <w:r>
        <w:rPr>
          <w:rFonts w:hint="eastAsia" w:ascii="仿宋_GB2312" w:eastAsia="仿宋_GB2312"/>
          <w:sz w:val="32"/>
          <w:szCs w:val="32"/>
        </w:rPr>
        <w:t>）——核定拟资助计划——社会公示——下达资助计划——申请人提交拨付资料——拨付资金。</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十一、办理时限</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按照工作要求办理。</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十二、证件及有效期</w:t>
      </w:r>
    </w:p>
    <w:p>
      <w:pPr>
        <w:keepNext w:val="0"/>
        <w:keepLines w:val="0"/>
        <w:pageBreakBefore w:val="0"/>
        <w:widowControl w:val="0"/>
        <w:kinsoku/>
        <w:wordWrap/>
        <w:overflowPunct/>
        <w:topLinePunct w:val="0"/>
        <w:autoSpaceDN/>
        <w:bidi w:val="0"/>
        <w:adjustRightInd/>
        <w:snapToGrid/>
        <w:spacing w:line="560" w:lineRule="exact"/>
        <w:ind w:firstLine="640" w:firstLineChars="200"/>
        <w:contextualSpacing/>
        <w:textAlignment w:val="auto"/>
        <w:outlineLvl w:val="0"/>
        <w:rPr>
          <w:rFonts w:ascii="仿宋_GB2312" w:eastAsia="仿宋_GB2312"/>
          <w:sz w:val="32"/>
          <w:szCs w:val="32"/>
        </w:rPr>
      </w:pPr>
      <w:r>
        <w:rPr>
          <w:rFonts w:hint="eastAsia" w:ascii="仿宋_GB2312" w:eastAsia="仿宋_GB2312"/>
          <w:sz w:val="32"/>
          <w:szCs w:val="32"/>
        </w:rPr>
        <w:t>证件：无</w:t>
      </w:r>
    </w:p>
    <w:p>
      <w:pPr>
        <w:keepNext w:val="0"/>
        <w:keepLines w:val="0"/>
        <w:pageBreakBefore w:val="0"/>
        <w:widowControl w:val="0"/>
        <w:kinsoku/>
        <w:wordWrap/>
        <w:overflowPunct/>
        <w:topLinePunct w:val="0"/>
        <w:autoSpaceDN/>
        <w:bidi w:val="0"/>
        <w:adjustRightInd/>
        <w:snapToGrid/>
        <w:spacing w:line="560" w:lineRule="exact"/>
        <w:ind w:firstLine="640" w:firstLineChars="200"/>
        <w:contextualSpacing/>
        <w:textAlignment w:val="auto"/>
        <w:outlineLvl w:val="0"/>
        <w:rPr>
          <w:rFonts w:ascii="仿宋_GB2312" w:eastAsia="仿宋_GB2312"/>
          <w:sz w:val="32"/>
          <w:szCs w:val="32"/>
        </w:rPr>
      </w:pPr>
      <w:r>
        <w:rPr>
          <w:rFonts w:hint="eastAsia" w:ascii="仿宋_GB2312" w:eastAsia="仿宋_GB2312"/>
          <w:sz w:val="32"/>
          <w:szCs w:val="32"/>
        </w:rPr>
        <w:t>有效期限：无</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十三、证件的法律效力</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十四、收费</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十五、年审或年检</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十六、补充说明</w:t>
      </w:r>
    </w:p>
    <w:p>
      <w:pPr>
        <w:keepNext w:val="0"/>
        <w:keepLines w:val="0"/>
        <w:pageBreakBefore w:val="0"/>
        <w:widowControl w:val="0"/>
        <w:kinsoku/>
        <w:wordWrap/>
        <w:overflowPunct/>
        <w:topLinePunct w:val="0"/>
        <w:autoSpaceDN/>
        <w:bidi w:val="0"/>
        <w:adjustRightInd/>
        <w:snapToGrid/>
        <w:spacing w:line="560" w:lineRule="exact"/>
        <w:ind w:firstLine="640" w:firstLineChars="200"/>
        <w:contextualSpacing/>
        <w:textAlignment w:val="auto"/>
        <w:outlineLvl w:val="0"/>
        <w:rPr>
          <w:rFonts w:ascii="仿宋_GB2312" w:eastAsia="仿宋_GB2312"/>
          <w:sz w:val="32"/>
          <w:szCs w:val="32"/>
        </w:rPr>
      </w:pPr>
      <w:r>
        <w:rPr>
          <w:rFonts w:hint="eastAsia" w:ascii="仿宋_GB2312" w:eastAsia="仿宋_GB2312"/>
          <w:sz w:val="32"/>
          <w:szCs w:val="32"/>
        </w:rPr>
        <w:t>（一）已经资助过的项目不得重复申报；同一单位建设内容相同或部分相同项目、同一笔费用支出不得向市有关部门多头申报。经核实属重复申报或多头申报的项目，将取消该单位的申报资格并追究责任。</w:t>
      </w:r>
    </w:p>
    <w:p>
      <w:pPr>
        <w:pStyle w:val="2"/>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pPr>
      <w:r>
        <w:rPr>
          <w:rFonts w:hint="eastAsia" w:ascii="仿宋_GB2312" w:eastAsia="仿宋_GB2312"/>
          <w:sz w:val="32"/>
          <w:szCs w:val="32"/>
        </w:rPr>
        <w:t>（二）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p>
      <w:pPr>
        <w:keepNext w:val="0"/>
        <w:keepLines w:val="0"/>
        <w:pageBreakBefore w:val="0"/>
        <w:widowControl w:val="0"/>
        <w:kinsoku/>
        <w:wordWrap/>
        <w:overflowPunct/>
        <w:topLinePunct w:val="0"/>
        <w:autoSpaceDN/>
        <w:bidi w:val="0"/>
        <w:adjustRightInd/>
        <w:snapToGrid/>
        <w:spacing w:line="56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86"/>
    <w:family w:val="auto"/>
    <w:pitch w:val="default"/>
    <w:sig w:usb0="00000000" w:usb1="00000000" w:usb2="0000001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C146F"/>
    <w:rsid w:val="06A424F9"/>
    <w:rsid w:val="095C02AD"/>
    <w:rsid w:val="09723ED4"/>
    <w:rsid w:val="0C856136"/>
    <w:rsid w:val="11CC28B3"/>
    <w:rsid w:val="158A7C86"/>
    <w:rsid w:val="158C53B4"/>
    <w:rsid w:val="15B85327"/>
    <w:rsid w:val="17F33C5C"/>
    <w:rsid w:val="1C681F43"/>
    <w:rsid w:val="1DBC136A"/>
    <w:rsid w:val="1E43073D"/>
    <w:rsid w:val="201C188E"/>
    <w:rsid w:val="22690465"/>
    <w:rsid w:val="22EB4A6F"/>
    <w:rsid w:val="23EF6ED4"/>
    <w:rsid w:val="259E7F87"/>
    <w:rsid w:val="2F28660E"/>
    <w:rsid w:val="32F93289"/>
    <w:rsid w:val="33CE600E"/>
    <w:rsid w:val="33E95019"/>
    <w:rsid w:val="356653EC"/>
    <w:rsid w:val="358D2F5E"/>
    <w:rsid w:val="36844D01"/>
    <w:rsid w:val="42E5796E"/>
    <w:rsid w:val="46EC1306"/>
    <w:rsid w:val="47E12AB9"/>
    <w:rsid w:val="4A9879CC"/>
    <w:rsid w:val="4BDF3373"/>
    <w:rsid w:val="53750285"/>
    <w:rsid w:val="53D162BD"/>
    <w:rsid w:val="549472C8"/>
    <w:rsid w:val="5755792B"/>
    <w:rsid w:val="58AB3E13"/>
    <w:rsid w:val="59761637"/>
    <w:rsid w:val="59A0559F"/>
    <w:rsid w:val="5B28039F"/>
    <w:rsid w:val="5B6E0055"/>
    <w:rsid w:val="5F4B2BEC"/>
    <w:rsid w:val="5FC97E32"/>
    <w:rsid w:val="634336BA"/>
    <w:rsid w:val="65151547"/>
    <w:rsid w:val="679E1E0C"/>
    <w:rsid w:val="68E22DE0"/>
    <w:rsid w:val="6A556D15"/>
    <w:rsid w:val="71A93C16"/>
    <w:rsid w:val="736843B1"/>
    <w:rsid w:val="7896413D"/>
    <w:rsid w:val="7A2713ED"/>
    <w:rsid w:val="7D8820F0"/>
    <w:rsid w:val="7E10061E"/>
    <w:rsid w:val="7E755181"/>
    <w:rsid w:val="7E897727"/>
    <w:rsid w:val="7F4E2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张文雅</cp:lastModifiedBy>
  <dcterms:modified xsi:type="dcterms:W3CDTF">2021-07-15T02:22:57Z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