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仿宋_GB2312"/>
          <w:color w:val="000000" w:themeColor="text1"/>
          <w:sz w:val="32"/>
          <w:szCs w:val="32"/>
          <w:lang w:val="en-US"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w:t>
      </w:r>
      <w:r>
        <w:rPr>
          <w:rFonts w:hint="eastAsia" w:ascii="黑体" w:hAnsi="黑体" w:eastAsia="黑体" w:cs="仿宋_GB2312"/>
          <w:color w:val="000000" w:themeColor="text1"/>
          <w:sz w:val="32"/>
          <w:szCs w:val="32"/>
          <w:lang w:val="en-US" w:eastAsia="zh-CN"/>
          <w14:textFill>
            <w14:solidFill>
              <w14:schemeClr w14:val="tx1"/>
            </w14:solidFill>
          </w14:textFill>
        </w:rPr>
        <w:t>2</w:t>
      </w:r>
    </w:p>
    <w:p>
      <w:pPr>
        <w:spacing w:line="560" w:lineRule="exact"/>
        <w:rPr>
          <w:rFonts w:ascii="方正小标宋简体" w:eastAsia="方正小标宋简体"/>
          <w:color w:val="000000" w:themeColor="text1"/>
          <w:sz w:val="44"/>
          <w:szCs w:val="44"/>
          <w14:textFill>
            <w14:solidFill>
              <w14:schemeClr w14:val="tx1"/>
            </w14:solidFill>
          </w14:textFill>
        </w:rPr>
      </w:pP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hint="eastAsia" w:ascii="方正小标宋简体" w:eastAsia="方正小标宋简体"/>
          <w:color w:val="000000" w:themeColor="text1"/>
          <w:sz w:val="44"/>
          <w:szCs w:val="44"/>
          <w:lang w:val="en-US" w:eastAsia="zh-CN"/>
          <w14:textFill>
            <w14:solidFill>
              <w14:schemeClr w14:val="tx1"/>
            </w14:solidFill>
          </w14:textFill>
        </w:rPr>
        <w:t>1</w:t>
      </w:r>
      <w:r>
        <w:rPr>
          <w:rFonts w:hint="eastAsia" w:ascii="方正小标宋简体" w:eastAsia="方正小标宋简体"/>
          <w:color w:val="000000" w:themeColor="text1"/>
          <w:sz w:val="44"/>
          <w:szCs w:val="44"/>
          <w14:textFill>
            <w14:solidFill>
              <w14:schemeClr w14:val="tx1"/>
            </w14:solidFill>
          </w14:textFill>
        </w:rPr>
        <w:t>年度中央外经贸发展</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专项资金（支持外贸中小企业开拓市场</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资助事项）申报指南</w:t>
      </w:r>
    </w:p>
    <w:p>
      <w:pPr>
        <w:spacing w:line="560" w:lineRule="exact"/>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30"/>
        <w:rPr>
          <w:rFonts w:ascii="黑体" w:hAnsi="黑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促进外贸稳中提质，发挥市场主体作用。推动企业优化市场布局，帮助外贸</w:t>
      </w:r>
      <w:r>
        <w:rPr>
          <w:rFonts w:hint="eastAsia" w:ascii="仿宋_GB2312" w:eastAsia="仿宋_GB2312"/>
          <w:color w:val="000000" w:themeColor="text1"/>
          <w:sz w:val="32"/>
          <w:szCs w:val="32"/>
          <w:lang w:eastAsia="zh-CN"/>
          <w14:textFill>
            <w14:solidFill>
              <w14:schemeClr w14:val="tx1"/>
            </w14:solidFill>
          </w14:textFill>
        </w:rPr>
        <w:t>（服贸）</w:t>
      </w:r>
      <w:r>
        <w:rPr>
          <w:rFonts w:hint="eastAsia" w:ascii="仿宋_GB2312" w:eastAsia="仿宋_GB2312"/>
          <w:color w:val="000000" w:themeColor="text1"/>
          <w:sz w:val="32"/>
          <w:szCs w:val="32"/>
          <w14:textFill>
            <w14:solidFill>
              <w14:schemeClr w14:val="tx1"/>
            </w14:solidFill>
          </w14:textFill>
        </w:rPr>
        <w:t>中小企业开拓</w:t>
      </w:r>
      <w:r>
        <w:rPr>
          <w:rFonts w:hint="eastAsia" w:ascii="仿宋_GB2312" w:eastAsia="仿宋_GB2312"/>
          <w:color w:val="000000" w:themeColor="text1"/>
          <w:sz w:val="32"/>
          <w:szCs w:val="32"/>
          <w:lang w:eastAsia="zh-CN"/>
          <w14:textFill>
            <w14:solidFill>
              <w14:schemeClr w14:val="tx1"/>
            </w14:solidFill>
          </w14:textFill>
        </w:rPr>
        <w:t>国际</w:t>
      </w:r>
      <w:r>
        <w:rPr>
          <w:rFonts w:hint="eastAsia" w:ascii="仿宋_GB2312" w:eastAsia="仿宋_GB2312"/>
          <w:color w:val="000000" w:themeColor="text1"/>
          <w:sz w:val="32"/>
          <w:szCs w:val="32"/>
          <w14:textFill>
            <w14:solidFill>
              <w14:schemeClr w14:val="tx1"/>
            </w14:solidFill>
          </w14:textFill>
        </w:rPr>
        <w:t>市场，参加</w:t>
      </w:r>
      <w:r>
        <w:rPr>
          <w:rFonts w:hint="eastAsia" w:ascii="仿宋_GB2312" w:eastAsia="仿宋_GB2312"/>
          <w:color w:val="000000" w:themeColor="text1"/>
          <w:sz w:val="32"/>
          <w:szCs w:val="32"/>
          <w:highlight w:val="none"/>
          <w:lang w:eastAsia="zh-CN"/>
          <w14:textFill>
            <w14:solidFill>
              <w14:schemeClr w14:val="tx1"/>
            </w14:solidFill>
          </w14:textFill>
        </w:rPr>
        <w:t>境外</w:t>
      </w:r>
      <w:r>
        <w:rPr>
          <w:rFonts w:hint="eastAsia" w:ascii="仿宋_GB2312" w:eastAsia="仿宋_GB2312"/>
          <w:color w:val="000000" w:themeColor="text1"/>
          <w:sz w:val="32"/>
          <w:szCs w:val="32"/>
          <w14:textFill>
            <w14:solidFill>
              <w14:schemeClr w14:val="tx1"/>
            </w14:solidFill>
          </w14:textFill>
        </w:rPr>
        <w:t>线上线下展会。支持应对新冠肺炎疫情，同等条件下向受疫情影响较大的相关地区和企业适度倾斜。</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（一）资金政策依据：</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auto"/>
          <w:sz w:val="32"/>
          <w:szCs w:val="32"/>
          <w:highlight w:val="none"/>
        </w:rPr>
        <w:t>《财政部 商务部关于</w:t>
      </w:r>
      <w:r>
        <w:rPr>
          <w:rFonts w:hint="eastAsia" w:ascii="仿宋_GB2312" w:eastAsia="仿宋_GB2312"/>
          <w:color w:val="auto"/>
          <w:sz w:val="32"/>
          <w:szCs w:val="32"/>
          <w:highlight w:val="none"/>
          <w:lang w:val="en-US" w:eastAsia="zh-CN"/>
        </w:rPr>
        <w:t>2021年度</w:t>
      </w:r>
      <w:r>
        <w:rPr>
          <w:rFonts w:hint="eastAsia" w:ascii="仿宋_GB2312" w:eastAsia="仿宋_GB2312"/>
          <w:color w:val="auto"/>
          <w:sz w:val="32"/>
          <w:szCs w:val="32"/>
          <w:highlight w:val="none"/>
        </w:rPr>
        <w:t>外经贸发展专项资金</w:t>
      </w:r>
      <w:r>
        <w:rPr>
          <w:rFonts w:hint="eastAsia" w:ascii="仿宋_GB2312" w:eastAsia="仿宋_GB2312"/>
          <w:color w:val="auto"/>
          <w:sz w:val="32"/>
          <w:szCs w:val="32"/>
          <w:highlight w:val="none"/>
          <w:lang w:eastAsia="zh-CN"/>
        </w:rPr>
        <w:t>重点工作的</w:t>
      </w:r>
      <w:r>
        <w:rPr>
          <w:rFonts w:hint="eastAsia" w:ascii="仿宋_GB2312" w:eastAsia="仿宋_GB2312"/>
          <w:color w:val="auto"/>
          <w:sz w:val="32"/>
          <w:szCs w:val="32"/>
          <w:highlight w:val="none"/>
        </w:rPr>
        <w:t>通知》（财建[2021] 183号）</w:t>
      </w:r>
      <w:r>
        <w:rPr>
          <w:rFonts w:hint="eastAsia" w:ascii="仿宋_GB2312" w:eastAsia="仿宋_GB2312"/>
          <w:color w:val="auto"/>
          <w:sz w:val="32"/>
          <w:szCs w:val="32"/>
          <w:highlight w:val="none"/>
          <w:lang w:eastAsia="zh-CN"/>
        </w:rPr>
        <w:t>。</w:t>
      </w:r>
    </w:p>
    <w:p>
      <w:pPr>
        <w:tabs>
          <w:tab w:val="left" w:pos="811"/>
          <w:tab w:val="left" w:pos="1171"/>
        </w:tabs>
        <w:spacing w:line="560" w:lineRule="exact"/>
        <w:ind w:firstLine="64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14:textFill>
            <w14:solidFill>
              <w14:schemeClr w14:val="tx1"/>
            </w14:solidFill>
          </w14:textFill>
        </w:rPr>
        <w:t>）资金管理依据：</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1.《财政部 商务部关于印发〈外经贸发展专项资金管理办法〉的通知》（财行〔2014〕36号）；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2.《财政部 商务部关于〈外经贸发展专项资金管理办法〉的补充通知》（财行〔2016〕480号）；</w:t>
      </w:r>
    </w:p>
    <w:p>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3.《财政部 商务部关于〈外经贸发展专项资金管理办法〉的补充通知》（财行〔2019〕91号）</w:t>
      </w:r>
      <w:r>
        <w:rPr>
          <w:rFonts w:hint="eastAsia" w:ascii="仿宋_GB2312" w:eastAsia="仿宋_GB2312"/>
          <w:color w:val="000000" w:themeColor="text1"/>
          <w:sz w:val="32"/>
          <w:szCs w:val="32"/>
          <w:lang w:eastAsia="zh-CN"/>
          <w14:textFill>
            <w14:solidFill>
              <w14:schemeClr w14:val="tx1"/>
            </w14:solidFill>
          </w14:textFill>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beforeLines="0" w:afterLines="0" w:line="560" w:lineRule="exact"/>
        <w:ind w:firstLine="645"/>
        <w:rPr>
          <w:rFonts w:hint="eastAsia" w:ascii="仿宋_GB2312" w:hAnsi="仿宋_GB2312" w:eastAsia="仿宋_GB2312" w:cs="宋体"/>
          <w:color w:val="auto"/>
          <w:kern w:val="0"/>
          <w:sz w:val="32"/>
          <w:szCs w:val="32"/>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r>
        <w:rPr>
          <w:rFonts w:hint="eastAsia" w:ascii="仿宋_GB2312" w:hAnsi="仿宋_GB2312" w:eastAsia="仿宋_GB2312" w:cs="宋体"/>
          <w:color w:val="auto"/>
          <w:kern w:val="0"/>
          <w:sz w:val="32"/>
          <w:szCs w:val="32"/>
        </w:rPr>
        <w:t>有</w:t>
      </w:r>
      <w:r>
        <w:rPr>
          <w:rFonts w:hint="eastAsia" w:ascii="仿宋_GB2312" w:hAnsi="仿宋_GB2312" w:eastAsia="仿宋_GB2312" w:cs="仿宋_GB2312"/>
          <w:color w:val="auto"/>
          <w:kern w:val="0"/>
          <w:sz w:val="32"/>
          <w:szCs w:val="32"/>
        </w:rPr>
        <w:t>数量限制，受</w:t>
      </w:r>
      <w:r>
        <w:rPr>
          <w:rFonts w:hint="eastAsia" w:ascii="仿宋_GB2312" w:hAnsi="仿宋_GB2312" w:eastAsia="仿宋_GB2312" w:cs="仿宋_GB2312"/>
          <w:color w:val="auto"/>
          <w:sz w:val="32"/>
          <w:szCs w:val="32"/>
        </w:rPr>
        <w:t>财政部、商务部下达年度资金预算控制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rPr>
        <w:t>资</w:t>
      </w:r>
      <w:r>
        <w:rPr>
          <w:rFonts w:hint="eastAsia" w:ascii="仿宋_GB2312" w:hAnsi="仿宋_GB2312" w:eastAsia="仿宋_GB2312" w:cs="仿宋_GB2312"/>
          <w:color w:val="000000" w:themeColor="text1"/>
          <w:sz w:val="32"/>
          <w:szCs w:val="32"/>
          <w:highlight w:val="none"/>
          <w14:textFill>
            <w14:solidFill>
              <w14:schemeClr w14:val="tx1"/>
            </w14:solidFill>
          </w14:textFill>
        </w:rPr>
        <w:t>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金额以万元为单位按舍尾法取整，且原则上不</w:t>
      </w:r>
      <w:r>
        <w:rPr>
          <w:rFonts w:hint="eastAsia" w:ascii="仿宋_GB2312" w:hAnsi="仿宋_GB2312" w:eastAsia="仿宋_GB2312" w:cs="仿宋_GB2312"/>
          <w:color w:val="000000" w:themeColor="text1"/>
          <w:sz w:val="32"/>
          <w:szCs w:val="32"/>
          <w:highlight w:val="none"/>
          <w14:textFill>
            <w14:solidFill>
              <w14:schemeClr w14:val="tx1"/>
            </w14:solidFill>
          </w14:textFill>
        </w:rPr>
        <w:t>得大于实际发生/投入金额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深圳</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color w:val="auto"/>
          <w:kern w:val="0"/>
          <w:sz w:val="32"/>
          <w:szCs w:val="32"/>
        </w:rPr>
        <w:t>务局视申报情况和预算安排，对资助金额、支持比例和拨付进度等进行统一调整</w:t>
      </w:r>
      <w:r>
        <w:rPr>
          <w:rFonts w:hint="eastAsia" w:ascii="仿宋_GB2312" w:hAnsi="仿宋_GB2312" w:eastAsia="仿宋_GB2312" w:cs="宋体"/>
          <w:color w:val="auto"/>
          <w:kern w:val="0"/>
          <w:sz w:val="32"/>
          <w:szCs w:val="32"/>
          <w:lang w:eastAsia="zh-CN"/>
        </w:rPr>
        <w:t>，</w:t>
      </w:r>
      <w:r>
        <w:rPr>
          <w:rFonts w:hint="eastAsia" w:ascii="仿宋_GB2312" w:hAnsi="仿宋_GB2312" w:eastAsia="仿宋_GB2312" w:cs="宋体"/>
          <w:color w:val="auto"/>
          <w:kern w:val="0"/>
          <w:sz w:val="32"/>
          <w:szCs w:val="32"/>
        </w:rPr>
        <w:t>项目</w:t>
      </w:r>
      <w:r>
        <w:rPr>
          <w:rFonts w:hint="eastAsia" w:ascii="仿宋_GB2312" w:hAnsi="仿宋_GB2312" w:eastAsia="仿宋_GB2312" w:cs="宋体"/>
          <w:color w:val="auto"/>
          <w:kern w:val="0"/>
          <w:sz w:val="32"/>
          <w:szCs w:val="32"/>
          <w:lang w:val="en-US" w:eastAsia="zh-CN"/>
        </w:rPr>
        <w:t>申请单位</w:t>
      </w:r>
      <w:r>
        <w:rPr>
          <w:rFonts w:hint="eastAsia" w:ascii="仿宋_GB2312" w:hAnsi="仿宋_GB2312" w:eastAsia="仿宋_GB2312" w:cs="宋体"/>
          <w:color w:val="auto"/>
          <w:kern w:val="0"/>
          <w:sz w:val="32"/>
          <w:szCs w:val="32"/>
        </w:rPr>
        <w:t>应无条件同意调整结果。</w:t>
      </w:r>
    </w:p>
    <w:p>
      <w:pPr>
        <w:widowControl/>
        <w:shd w:val="clear" w:color="auto" w:fill="FFFFFF"/>
        <w:spacing w:line="560" w:lineRule="exact"/>
        <w:ind w:firstLine="645"/>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（二）支持方式：</w:t>
      </w: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（一）符合</w:t>
      </w:r>
      <w:r>
        <w:rPr>
          <w:rFonts w:ascii="仿宋_GB2312" w:eastAsia="仿宋_GB2312"/>
          <w:color w:val="000000" w:themeColor="text1"/>
          <w:sz w:val="32"/>
          <w:szCs w:val="32"/>
          <w14:textFill>
            <w14:solidFill>
              <w14:schemeClr w14:val="tx1"/>
            </w14:solidFill>
          </w14:textFill>
        </w:rPr>
        <w:t>财政部</w:t>
      </w:r>
      <w:r>
        <w:rPr>
          <w:rFonts w:hint="eastAsia" w:ascii="仿宋_GB2312" w:eastAsia="仿宋_GB2312"/>
          <w:color w:val="000000" w:themeColor="text1"/>
          <w:sz w:val="32"/>
          <w:szCs w:val="32"/>
          <w14:textFill>
            <w14:solidFill>
              <w14:schemeClr w14:val="tx1"/>
            </w14:solidFill>
          </w14:textFill>
        </w:rPr>
        <w:t>、商务部《外经贸发展专项资金管理办法》第十一条所规定的基本条件：</w:t>
      </w:r>
    </w:p>
    <w:p>
      <w:pPr>
        <w:widowControl/>
        <w:shd w:val="clear" w:color="auto" w:fill="FFFFFF"/>
        <w:spacing w:beforeLines="0" w:afterLines="0" w:line="560" w:lineRule="exact"/>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1.在深圳市行政区域内依法</w:t>
      </w:r>
      <w:r>
        <w:rPr>
          <w:rFonts w:hint="eastAsia" w:ascii="仿宋_GB2312" w:hAnsi="仿宋_GB2312" w:eastAsia="仿宋_GB2312"/>
          <w:color w:val="auto"/>
          <w:sz w:val="32"/>
          <w:szCs w:val="32"/>
          <w:lang w:val="en-US" w:eastAsia="zh-CN"/>
        </w:rPr>
        <w:t>登记</w:t>
      </w:r>
      <w:r>
        <w:rPr>
          <w:rFonts w:hint="eastAsia" w:ascii="仿宋_GB2312" w:hAnsi="仿宋_GB2312" w:eastAsia="仿宋_GB2312"/>
          <w:color w:val="auto"/>
          <w:sz w:val="32"/>
          <w:szCs w:val="32"/>
        </w:rPr>
        <w:t>注册</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具有</w:t>
      </w:r>
      <w:r>
        <w:rPr>
          <w:rFonts w:hint="eastAsia" w:ascii="仿宋_GB2312" w:hAnsi="仿宋_GB2312" w:eastAsia="仿宋_GB2312"/>
          <w:color w:val="auto"/>
          <w:sz w:val="32"/>
          <w:szCs w:val="32"/>
        </w:rPr>
        <w:t>独立法人</w:t>
      </w:r>
      <w:r>
        <w:rPr>
          <w:rFonts w:hint="eastAsia" w:ascii="仿宋_GB2312" w:hAnsi="仿宋_GB2312" w:eastAsia="仿宋_GB2312"/>
          <w:color w:val="auto"/>
          <w:sz w:val="32"/>
          <w:szCs w:val="32"/>
          <w:lang w:val="en-US" w:eastAsia="zh-CN"/>
        </w:rPr>
        <w:t>资格的</w:t>
      </w:r>
      <w:r>
        <w:rPr>
          <w:rFonts w:hint="eastAsia" w:ascii="仿宋_GB2312" w:hAnsi="仿宋_GB2312" w:eastAsia="仿宋_GB2312"/>
          <w:color w:val="auto"/>
          <w:sz w:val="32"/>
          <w:szCs w:val="32"/>
        </w:rPr>
        <w:t>企业</w:t>
      </w:r>
      <w:r>
        <w:rPr>
          <w:rFonts w:hint="eastAsia" w:ascii="仿宋_GB2312" w:hAnsi="仿宋_GB2312" w:eastAsia="仿宋_GB2312"/>
          <w:color w:val="auto"/>
          <w:sz w:val="32"/>
          <w:szCs w:val="32"/>
          <w:lang w:eastAsia="zh-CN"/>
        </w:rPr>
        <w:t>；</w:t>
      </w:r>
    </w:p>
    <w:p>
      <w:pPr>
        <w:widowControl/>
        <w:shd w:val="clear" w:color="auto" w:fill="FFFFFF"/>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2.企业已依法取得进出口经营资格或已</w:t>
      </w:r>
      <w:r>
        <w:rPr>
          <w:rFonts w:hint="eastAsia" w:ascii="仿宋_GB2312" w:eastAsia="仿宋_GB2312"/>
          <w:color w:val="000000" w:themeColor="text1"/>
          <w:sz w:val="32"/>
          <w:szCs w:val="32"/>
          <w14:textFill>
            <w14:solidFill>
              <w14:schemeClr w14:val="tx1"/>
            </w14:solidFill>
          </w14:textFill>
        </w:rPr>
        <w:t>办理对外贸易经营者备案登记，</w:t>
      </w:r>
      <w:r>
        <w:rPr>
          <w:rFonts w:hint="eastAsia" w:ascii="仿宋_GB2312" w:hAnsi="宋体" w:eastAsia="仿宋_GB2312" w:cs="宋体"/>
          <w:color w:val="000000" w:themeColor="text1"/>
          <w:kern w:val="0"/>
          <w:sz w:val="32"/>
          <w:szCs w:val="32"/>
          <w14:textFill>
            <w14:solidFill>
              <w14:schemeClr w14:val="tx1"/>
            </w14:solidFill>
          </w14:textFill>
        </w:rPr>
        <w:t>20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w:t>
      </w:r>
      <w:r>
        <w:rPr>
          <w:rFonts w:hint="eastAsia" w:ascii="仿宋_GB2312" w:hAnsi="宋体" w:eastAsia="仿宋_GB2312" w:cs="宋体"/>
          <w:color w:val="000000" w:themeColor="text1"/>
          <w:kern w:val="0"/>
          <w:sz w:val="32"/>
          <w:szCs w:val="32"/>
          <w14:textFill>
            <w14:solidFill>
              <w14:schemeClr w14:val="tx1"/>
            </w14:solidFill>
          </w14:textFill>
        </w:rPr>
        <w:t>年度海关统计进出口额在6500万（含）美元以下</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widowControl/>
        <w:shd w:val="clear" w:color="auto" w:fill="FFFFFF"/>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3.近五年（</w:t>
      </w:r>
      <w:r>
        <w:rPr>
          <w:rFonts w:hint="eastAsia" w:ascii="仿宋_GB2312" w:eastAsia="仿宋_GB2312"/>
          <w:color w:val="000000" w:themeColor="text1"/>
          <w:sz w:val="32"/>
          <w:szCs w:val="32"/>
          <w:lang w:eastAsia="zh-CN"/>
          <w14:textFill>
            <w14:solidFill>
              <w14:schemeClr w14:val="tx1"/>
            </w14:solidFill>
          </w14:textFill>
        </w:rPr>
        <w:t>自</w:t>
      </w:r>
      <w:r>
        <w:rPr>
          <w:rFonts w:hint="eastAsia"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起</w:t>
      </w:r>
      <w:r>
        <w:rPr>
          <w:rFonts w:hint="eastAsia" w:ascii="仿宋_GB2312" w:eastAsia="仿宋_GB2312"/>
          <w:color w:val="000000" w:themeColor="text1"/>
          <w:sz w:val="32"/>
          <w:szCs w:val="32"/>
          <w14:textFill>
            <w14:solidFill>
              <w14:schemeClr w14:val="tx1"/>
            </w14:solidFill>
          </w14:textFill>
        </w:rPr>
        <w:t>）来无严重违法违规行为，未拖欠应缴还的财政性资金；持续诚信合规经营，</w:t>
      </w:r>
      <w:r>
        <w:rPr>
          <w:rFonts w:hint="eastAsia" w:ascii="仿宋_GB2312" w:hAnsi="仿宋_GB2312" w:eastAsia="仿宋_GB2312" w:cs="仿宋_GB2312"/>
          <w:color w:val="000000" w:themeColor="text1"/>
          <w:sz w:val="32"/>
          <w:szCs w:val="32"/>
          <w14:textFill>
            <w14:solidFill>
              <w14:schemeClr w14:val="tx1"/>
            </w14:solidFill>
          </w14:textFill>
        </w:rPr>
        <w:t>未被国家、省、市相关部门列入失信联合惩戒对象名单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widowControl/>
        <w:shd w:val="clear" w:color="auto" w:fill="FFFFFF"/>
        <w:tabs>
          <w:tab w:val="left" w:pos="1159"/>
        </w:tabs>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4.不可以同一事项重复或多头申报各级财政专项资金</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确因政策允许的，应当在申报材料中标明并注明原因</w:t>
      </w:r>
      <w:r>
        <w:rPr>
          <w:rFonts w:hint="eastAsia" w:ascii="仿宋_GB2312" w:eastAsia="仿宋_GB2312"/>
          <w:color w:val="000000" w:themeColor="text1"/>
          <w:sz w:val="32"/>
          <w:szCs w:val="32"/>
          <w:lang w:eastAsia="zh-CN"/>
          <w14:textFill>
            <w14:solidFill>
              <w14:schemeClr w14:val="tx1"/>
            </w14:solidFill>
          </w14:textFill>
        </w:rPr>
        <w:t>；</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5.按国家有关规定报送统计资料</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以申报项目</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为主体参加国际性展会及</w:t>
      </w:r>
      <w:r>
        <w:rPr>
          <w:rFonts w:hint="eastAsia" w:ascii="仿宋_GB2312" w:eastAsia="仿宋_GB2312"/>
          <w:color w:val="000000" w:themeColor="text1"/>
          <w:sz w:val="32"/>
          <w:szCs w:val="32"/>
          <w:lang w:eastAsia="zh-CN"/>
          <w14:textFill>
            <w14:solidFill>
              <w14:schemeClr w14:val="tx1"/>
            </w14:solidFill>
          </w14:textFill>
        </w:rPr>
        <w:t>境外</w:t>
      </w:r>
      <w:r>
        <w:rPr>
          <w:rFonts w:hint="eastAsia" w:ascii="仿宋_GB2312" w:eastAsia="仿宋_GB2312"/>
          <w:color w:val="000000" w:themeColor="text1"/>
          <w:sz w:val="32"/>
          <w:szCs w:val="32"/>
          <w14:textFill>
            <w14:solidFill>
              <w14:schemeClr w14:val="tx1"/>
            </w14:solidFill>
          </w14:textFill>
        </w:rPr>
        <w:t>线上展会的展位费用。</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国际性展会是指在境外举办的展览会，且已列入《鼓励参加境外展览会目录（202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年版）》（详见附件</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（三）申请资助的项目应当在20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年7月1日至202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年6月30日期间完成项目（线上展会已实施项目），已支付相关费用，已取得</w:t>
      </w:r>
      <w:r>
        <w:rPr>
          <w:rFonts w:hint="eastAsia" w:ascii="仿宋_GB2312" w:eastAsia="仿宋_GB2312"/>
          <w:color w:val="000000" w:themeColor="text1"/>
          <w:sz w:val="32"/>
          <w:szCs w:val="32"/>
          <w:highlight w:val="none"/>
          <w:lang w:eastAsia="zh-CN"/>
          <w14:textFill>
            <w14:solidFill>
              <w14:schemeClr w14:val="tx1"/>
            </w14:solidFill>
          </w14:textFill>
        </w:rPr>
        <w:t>当期支持时间内的</w:t>
      </w:r>
      <w:r>
        <w:rPr>
          <w:rFonts w:hint="eastAsia" w:ascii="仿宋_GB2312" w:eastAsia="仿宋_GB2312"/>
          <w:color w:val="000000" w:themeColor="text1"/>
          <w:sz w:val="32"/>
          <w:szCs w:val="32"/>
          <w14:textFill>
            <w14:solidFill>
              <w14:schemeClr w14:val="tx1"/>
            </w14:solidFill>
          </w14:textFill>
        </w:rPr>
        <w:t>相关单据和银行出具的支付凭证。</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（四）项目费用仅支持申报项目</w:t>
      </w:r>
      <w:r>
        <w:rPr>
          <w:rFonts w:hint="eastAsia" w:ascii="仿宋_GB2312" w:eastAsia="仿宋_GB2312"/>
          <w:strike w:val="0"/>
          <w:dstrike w:val="0"/>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银行账户支付，不支持现金、个人和关联公司等支付方式。</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（五）申报项目</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主体须与相关费用单据、支付凭证和合同协议等申请材料信息相一致。</w:t>
      </w:r>
    </w:p>
    <w:p>
      <w:pPr>
        <w:widowControl/>
        <w:shd w:val="clear" w:color="auto" w:fill="FFFFFF"/>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（六）每个</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所申报符合以上条件的</w:t>
      </w:r>
      <w:r>
        <w:rPr>
          <w:rFonts w:hint="eastAsia" w:ascii="仿宋_GB2312" w:eastAsia="仿宋_GB2312"/>
          <w:color w:val="000000" w:themeColor="text1"/>
          <w:sz w:val="32"/>
          <w:szCs w:val="32"/>
          <w:lang w:val="en-US" w:eastAsia="zh-CN"/>
          <w14:textFill>
            <w14:solidFill>
              <w14:schemeClr w14:val="tx1"/>
            </w14:solidFill>
          </w14:textFill>
        </w:rPr>
        <w:t>展位费用</w:t>
      </w:r>
      <w:r>
        <w:rPr>
          <w:rFonts w:hint="eastAsia" w:ascii="仿宋_GB2312" w:eastAsia="仿宋_GB2312"/>
          <w:color w:val="000000" w:themeColor="text1"/>
          <w:sz w:val="32"/>
          <w:szCs w:val="32"/>
          <w14:textFill>
            <w14:solidFill>
              <w14:schemeClr w14:val="tx1"/>
            </w14:solidFill>
          </w14:textFill>
        </w:rPr>
        <w:t>总和不低于5万元人民币。</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jc w:val="left"/>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（一）支持内容</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.境外展览会项目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持内容为展位费，包括场地和基本搭建（基本展台、桌椅、照明、开口）。其中传统市场国别（地区）按照50%给予支持，新兴市场国别（地区）按照70%给予支持。项目完成时间以展会结束时间为准。传统（新兴）市场国别（地区）目录见附件</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.线上展会项目</w:t>
      </w:r>
    </w:p>
    <w:p>
      <w:pPr>
        <w:widowControl/>
        <w:shd w:val="clear" w:color="auto" w:fill="FFFFFF"/>
        <w:spacing w:line="560" w:lineRule="exact"/>
        <w:ind w:firstLine="640" w:firstLineChars="200"/>
        <w:rPr>
          <w:rFonts w:hint="default" w:ascii="仿宋_GB2312" w:eastAsia="仿宋_GB2312"/>
          <w:color w:val="FF0000"/>
          <w:sz w:val="32"/>
          <w:szCs w:val="32"/>
          <w:lang w:val="en-US" w:eastAsia="zh-CN"/>
        </w:rPr>
      </w:pPr>
      <w:r>
        <w:rPr>
          <w:rFonts w:hint="eastAsia" w:ascii="仿宋_GB2312" w:eastAsia="仿宋_GB2312"/>
          <w:color w:val="000000" w:themeColor="text1"/>
          <w:sz w:val="32"/>
          <w:szCs w:val="32"/>
          <w14:textFill>
            <w14:solidFill>
              <w14:schemeClr w14:val="tx1"/>
            </w14:solidFill>
          </w14:textFill>
        </w:rPr>
        <w:t>支持内容为线上展会展位费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对于</w:t>
      </w:r>
      <w:r>
        <w:rPr>
          <w:rFonts w:hint="eastAsia" w:ascii="仿宋_GB2312" w:eastAsia="仿宋_GB2312"/>
          <w:strike w:val="0"/>
          <w:dstrike w:val="0"/>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参加</w:t>
      </w:r>
      <w:r>
        <w:rPr>
          <w:rFonts w:hint="eastAsia" w:ascii="仿宋_GB2312" w:eastAsia="仿宋_GB2312"/>
          <w:color w:val="000000" w:themeColor="text1"/>
          <w:sz w:val="32"/>
          <w:szCs w:val="32"/>
          <w:lang w:eastAsia="zh-CN"/>
          <w14:textFill>
            <w14:solidFill>
              <w14:schemeClr w14:val="tx1"/>
            </w14:solidFill>
          </w14:textFill>
        </w:rPr>
        <w:t>经广东省商务厅比选并公布的“粤贸全球”线上展览平台和</w:t>
      </w:r>
      <w:r>
        <w:rPr>
          <w:rFonts w:hint="eastAsia" w:ascii="仿宋_GB2312" w:eastAsia="仿宋_GB2312"/>
          <w:color w:val="000000" w:themeColor="text1"/>
          <w:sz w:val="32"/>
          <w:szCs w:val="32"/>
          <w14:textFill>
            <w14:solidFill>
              <w14:schemeClr w14:val="tx1"/>
            </w14:solidFill>
          </w14:textFill>
        </w:rPr>
        <w:t>2020年境外展览重点支持项目组展单位</w:t>
      </w:r>
      <w:r>
        <w:rPr>
          <w:rFonts w:hint="eastAsia" w:ascii="仿宋_GB2312" w:eastAsia="仿宋_GB2312"/>
          <w:color w:val="000000" w:themeColor="text1"/>
          <w:sz w:val="32"/>
          <w:szCs w:val="32"/>
          <w:lang w:eastAsia="zh-CN"/>
          <w14:textFill>
            <w14:solidFill>
              <w14:schemeClr w14:val="tx1"/>
            </w14:solidFill>
          </w14:textFill>
        </w:rPr>
        <w:t>所组织的网上展会</w:t>
      </w:r>
      <w:r>
        <w:rPr>
          <w:rFonts w:hint="eastAsia" w:ascii="仿宋_GB2312" w:eastAsia="仿宋_GB2312"/>
          <w:color w:val="000000" w:themeColor="text1"/>
          <w:sz w:val="32"/>
          <w:szCs w:val="32"/>
          <w14:textFill>
            <w14:solidFill>
              <w14:schemeClr w14:val="tx1"/>
            </w14:solidFill>
          </w14:textFill>
        </w:rPr>
        <w:t>（见</w:t>
      </w: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的类别二和类别三</w:t>
      </w:r>
      <w:r>
        <w:rPr>
          <w:rFonts w:hint="eastAsia" w:ascii="仿宋_GB2312" w:eastAsia="仿宋_GB2312"/>
          <w:color w:val="000000" w:themeColor="text1"/>
          <w:sz w:val="32"/>
          <w:szCs w:val="32"/>
          <w14:textFill>
            <w14:solidFill>
              <w14:schemeClr w14:val="tx1"/>
            </w14:solidFill>
          </w14:textFill>
        </w:rPr>
        <w:t>），按照50%给予支持。</w:t>
      </w:r>
      <w:r>
        <w:rPr>
          <w:rFonts w:hint="eastAsia" w:ascii="仿宋_GB2312" w:eastAsia="仿宋_GB2312"/>
          <w:strike w:val="0"/>
          <w:dstrike w:val="0"/>
          <w:color w:val="000000" w:themeColor="text1"/>
          <w:sz w:val="32"/>
          <w:szCs w:val="32"/>
          <w14:textFill>
            <w14:solidFill>
              <w14:schemeClr w14:val="tx1"/>
            </w14:solidFill>
          </w14:textFill>
        </w:rPr>
        <w:t>单</w:t>
      </w:r>
      <w:r>
        <w:rPr>
          <w:rFonts w:hint="eastAsia" w:ascii="仿宋_GB2312" w:eastAsia="仿宋_GB2312"/>
          <w:strike w:val="0"/>
          <w:dstrike w:val="0"/>
          <w:color w:val="000000" w:themeColor="text1"/>
          <w:sz w:val="32"/>
          <w:szCs w:val="32"/>
          <w:lang w:val="en-US" w:eastAsia="zh-CN"/>
          <w14:textFill>
            <w14:solidFill>
              <w14:schemeClr w14:val="tx1"/>
            </w14:solidFill>
          </w14:textFill>
        </w:rPr>
        <w:t>个企业每个线上平台</w:t>
      </w:r>
      <w:r>
        <w:rPr>
          <w:rFonts w:hint="eastAsia" w:ascii="仿宋_GB2312" w:eastAsia="仿宋_GB2312"/>
          <w:color w:val="000000" w:themeColor="text1"/>
          <w:sz w:val="32"/>
          <w:szCs w:val="32"/>
          <w14:textFill>
            <w14:solidFill>
              <w14:schemeClr w14:val="tx1"/>
            </w14:solidFill>
          </w14:textFill>
        </w:rPr>
        <w:t>最多支持1</w:t>
      </w:r>
      <w:r>
        <w:rPr>
          <w:rFonts w:hint="eastAsia" w:ascii="仿宋_GB2312" w:eastAsia="仿宋_GB2312"/>
          <w:color w:val="000000" w:themeColor="text1"/>
          <w:sz w:val="32"/>
          <w:szCs w:val="32"/>
          <w:lang w:eastAsia="zh-CN"/>
          <w14:textFill>
            <w14:solidFill>
              <w14:schemeClr w14:val="tx1"/>
            </w14:solidFill>
          </w14:textFill>
        </w:rPr>
        <w:t>个</w:t>
      </w:r>
      <w:r>
        <w:rPr>
          <w:rFonts w:hint="eastAsia" w:ascii="仿宋_GB2312" w:eastAsia="仿宋_GB2312"/>
          <w:color w:val="000000" w:themeColor="text1"/>
          <w:sz w:val="32"/>
          <w:szCs w:val="32"/>
          <w14:textFill>
            <w14:solidFill>
              <w14:schemeClr w14:val="tx1"/>
            </w14:solidFill>
          </w14:textFill>
        </w:rPr>
        <w:t>项目。</w:t>
      </w:r>
    </w:p>
    <w:p>
      <w:pPr>
        <w:widowControl/>
        <w:numPr>
          <w:ilvl w:val="0"/>
          <w:numId w:val="1"/>
        </w:numPr>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支持标准</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单家企业</w:t>
      </w:r>
      <w:r>
        <w:rPr>
          <w:rFonts w:hint="eastAsia" w:ascii="仿宋_GB2312" w:hAnsi="宋体" w:eastAsia="仿宋_GB2312" w:cs="宋体"/>
          <w:color w:val="000000" w:themeColor="text1"/>
          <w:kern w:val="0"/>
          <w:sz w:val="32"/>
          <w:szCs w:val="32"/>
          <w14:textFill>
            <w14:solidFill>
              <w14:schemeClr w14:val="tx1"/>
            </w14:solidFill>
          </w14:textFill>
        </w:rPr>
        <w:t>年度资助不超过</w:t>
      </w:r>
      <w:r>
        <w:rPr>
          <w:rFonts w:hint="eastAsia" w:ascii="仿宋_GB2312" w:hAnsi="宋体" w:eastAsia="仿宋_GB2312" w:cs="宋体"/>
          <w:color w:val="000000" w:themeColor="text1"/>
          <w:kern w:val="0"/>
          <w:sz w:val="32"/>
          <w:szCs w:val="32"/>
          <w:lang w:eastAsia="zh-CN"/>
          <w14:textFill>
            <w14:solidFill>
              <w14:schemeClr w14:val="tx1"/>
            </w14:solidFill>
          </w14:textFill>
        </w:rPr>
        <w:t>50</w:t>
      </w:r>
      <w:r>
        <w:rPr>
          <w:rFonts w:hint="eastAsia" w:ascii="仿宋_GB2312" w:hAnsi="宋体" w:eastAsia="仿宋_GB2312" w:cs="宋体"/>
          <w:color w:val="000000" w:themeColor="text1"/>
          <w:kern w:val="0"/>
          <w:sz w:val="32"/>
          <w:szCs w:val="32"/>
          <w14:textFill>
            <w14:solidFill>
              <w14:schemeClr w14:val="tx1"/>
            </w14:solidFill>
          </w14:textFill>
        </w:rPr>
        <w:t>万元。</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2.以外币支付相关费用的，按照中国人民银行公布的202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年6月30日人民币汇率中间价为依据，折算为人民币计算及资助。</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（一）网上注册</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进入国家申报系统“外经贸发展专项资金网络管理系统”（</w:t>
      </w:r>
      <w:r>
        <w:rPr>
          <w:rFonts w:hint="eastAsia" w:ascii="Times New Roman" w:hAnsi="Times New Roman" w:eastAsia="仿宋_GB2312" w:cs="Times New Roman"/>
          <w:color w:val="000000" w:themeColor="text1"/>
          <w:sz w:val="32"/>
          <w:szCs w:val="32"/>
          <w14:textFill>
            <w14:solidFill>
              <w14:schemeClr w14:val="tx1"/>
            </w14:solidFill>
          </w14:textFill>
        </w:rPr>
        <w:t xml:space="preserve">http://www.smeimdf.org.cn </w:t>
      </w:r>
      <w:r>
        <w:rPr>
          <w:rFonts w:hint="eastAsia" w:ascii="仿宋_GB2312" w:eastAsia="仿宋_GB2312"/>
          <w:color w:val="000000" w:themeColor="text1"/>
          <w:sz w:val="32"/>
          <w:szCs w:val="32"/>
          <w14:textFill>
            <w14:solidFill>
              <w14:schemeClr w14:val="tx1"/>
            </w14:solidFill>
          </w14:textFill>
        </w:rPr>
        <w:t>)，填写信息进行注册。以前年度通过资质审核的企业不需要重复注册，但应当检查注册信息是否与目前信息一致。</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如涉及注册信息变更的，提供</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hAnsi="宋体" w:eastAsia="仿宋_GB2312" w:cs="宋体"/>
          <w:color w:val="000000" w:themeColor="text1"/>
          <w:kern w:val="0"/>
          <w:sz w:val="32"/>
          <w:szCs w:val="32"/>
          <w14:textFill>
            <w14:solidFill>
              <w14:schemeClr w14:val="tx1"/>
            </w14:solidFill>
          </w14:textFill>
        </w:rPr>
        <w:t>法人营业执照副本或营业执照复印件</w:t>
      </w:r>
      <w:r>
        <w:rPr>
          <w:rFonts w:hint="eastAsia" w:ascii="仿宋_GB2312" w:eastAsia="仿宋_GB2312"/>
          <w:color w:val="000000" w:themeColor="text1"/>
          <w:sz w:val="32"/>
          <w:szCs w:val="32"/>
          <w14:textFill>
            <w14:solidFill>
              <w14:schemeClr w14:val="tx1"/>
            </w14:solidFill>
          </w14:textFill>
        </w:rPr>
        <w:t>及变更申请（加盖公章），涉及</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名称或银行账户变更的，还需提供工商变更通知书或开户许可证复印件（加盖公章）。</w:t>
      </w:r>
    </w:p>
    <w:p>
      <w:pPr>
        <w:widowControl/>
        <w:shd w:val="clear" w:color="auto" w:fill="FFFFFF"/>
        <w:spacing w:line="560" w:lineRule="exact"/>
        <w:ind w:firstLine="640" w:firstLineChars="200"/>
        <w:rPr>
          <w:rFonts w:ascii="楷体_GB2312" w:hAnsi="华文楷体" w:eastAsia="楷体_GB2312"/>
          <w:color w:val="000000" w:themeColor="text1"/>
          <w:sz w:val="32"/>
          <w:szCs w:val="32"/>
          <w14:textFill>
            <w14:solidFill>
              <w14:schemeClr w14:val="tx1"/>
            </w14:solidFill>
          </w14:textFill>
        </w:rPr>
      </w:pPr>
      <w:r>
        <w:rPr>
          <w:rFonts w:hint="eastAsia" w:ascii="楷体_GB2312" w:hAnsi="华文楷体" w:eastAsia="楷体_GB2312"/>
          <w:color w:val="000000" w:themeColor="text1"/>
          <w:sz w:val="32"/>
          <w:szCs w:val="32"/>
          <w14:textFill>
            <w14:solidFill>
              <w14:schemeClr w14:val="tx1"/>
            </w14:solidFill>
          </w14:textFill>
        </w:rPr>
        <w:t>（二）基本材料</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登录广东政务服务网（</w:t>
      </w:r>
      <w:r>
        <w:rPr>
          <w:rFonts w:hint="eastAsia" w:ascii="Times New Roman" w:hAnsi="Times New Roman" w:eastAsia="仿宋_GB2312"/>
          <w:color w:val="000000"/>
          <w:sz w:val="32"/>
          <w:szCs w:val="32"/>
        </w:rPr>
        <w:t>http://www.gdzwfw.gov.cn/</w:t>
      </w:r>
      <w:r>
        <w:rPr>
          <w:rFonts w:hint="eastAsia" w:ascii="仿宋_GB2312" w:eastAsia="仿宋_GB2312"/>
          <w:color w:val="000000" w:themeColor="text1"/>
          <w:sz w:val="32"/>
          <w:szCs w:val="32"/>
          <w14:textFill>
            <w14:solidFill>
              <w14:schemeClr w14:val="tx1"/>
            </w14:solidFill>
          </w14:textFill>
        </w:rPr>
        <w:t>）—深圳市—市</w:t>
      </w:r>
      <w:r>
        <w:rPr>
          <w:rFonts w:ascii="仿宋_GB2312" w:eastAsia="仿宋_GB2312"/>
          <w:color w:val="000000" w:themeColor="text1"/>
          <w:sz w:val="32"/>
          <w:szCs w:val="32"/>
          <w14:textFill>
            <w14:solidFill>
              <w14:schemeClr w14:val="tx1"/>
            </w14:solidFill>
          </w14:textFill>
        </w:rPr>
        <w:t>商务局</w:t>
      </w:r>
      <w:r>
        <w:rPr>
          <w:rFonts w:hint="eastAsia" w:ascii="仿宋_GB2312" w:eastAsia="仿宋_GB2312"/>
          <w:color w:val="000000" w:themeColor="text1"/>
          <w:sz w:val="32"/>
          <w:szCs w:val="32"/>
          <w14:textFill>
            <w14:solidFill>
              <w14:schemeClr w14:val="tx1"/>
            </w14:solidFill>
          </w14:textFill>
        </w:rPr>
        <w:t>—搜索</w:t>
      </w:r>
      <w:r>
        <w:rPr>
          <w:rFonts w:hint="eastAsia" w:ascii="仿宋_GB2312" w:hAnsi="宋体" w:eastAsia="仿宋_GB2312" w:cs="宋体"/>
          <w:color w:val="000000" w:themeColor="text1"/>
          <w:kern w:val="0"/>
          <w:sz w:val="32"/>
          <w:szCs w:val="32"/>
          <w14:textFill>
            <w14:solidFill>
              <w14:schemeClr w14:val="tx1"/>
            </w14:solidFill>
          </w14:textFill>
        </w:rPr>
        <w:t>支持外贸中小企业开拓市场资助</w:t>
      </w:r>
      <w:r>
        <w:rPr>
          <w:rFonts w:hint="eastAsia" w:ascii="仿宋_GB2312" w:hAnsi="宋体" w:eastAsia="仿宋_GB2312" w:cs="宋体"/>
          <w:bCs/>
          <w:color w:val="000000" w:themeColor="text1"/>
          <w:kern w:val="0"/>
          <w:sz w:val="32"/>
          <w:szCs w:val="32"/>
          <w14:textFill>
            <w14:solidFill>
              <w14:schemeClr w14:val="tx1"/>
            </w14:solidFill>
          </w14:textFill>
        </w:rPr>
        <w:t>事项，</w:t>
      </w:r>
      <w:r>
        <w:rPr>
          <w:rFonts w:hint="eastAsia" w:ascii="仿宋_GB2312" w:eastAsia="仿宋_GB2312"/>
          <w:color w:val="000000" w:themeColor="text1"/>
          <w:sz w:val="32"/>
          <w:szCs w:val="32"/>
          <w14:textFill>
            <w14:solidFill>
              <w14:schemeClr w14:val="tx1"/>
            </w14:solidFill>
          </w14:textFill>
        </w:rPr>
        <w:t>在线填报申请书，提供通过该系统打印的申请书纸质文件原件；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登录商务部申报系统“外经贸发展</w:t>
      </w:r>
      <w:bookmarkStart w:id="0" w:name="_GoBack"/>
      <w:bookmarkEnd w:id="0"/>
      <w:r>
        <w:rPr>
          <w:rFonts w:hint="eastAsia" w:ascii="仿宋_GB2312" w:eastAsia="仿宋_GB2312"/>
          <w:color w:val="000000" w:themeColor="text1"/>
          <w:sz w:val="32"/>
          <w:szCs w:val="32"/>
          <w14:textFill>
            <w14:solidFill>
              <w14:schemeClr w14:val="tx1"/>
            </w14:solidFill>
          </w14:textFill>
        </w:rPr>
        <w:t>专项资金网络管理系统”（</w:t>
      </w:r>
      <w:r>
        <w:rPr>
          <w:rFonts w:hint="eastAsia" w:ascii="Times New Roman" w:hAnsi="Times New Roman" w:eastAsia="仿宋_GB2312" w:cs="Times New Roman"/>
          <w:color w:val="000000" w:themeColor="text1"/>
          <w:sz w:val="32"/>
          <w:szCs w:val="32"/>
          <w14:textFill>
            <w14:solidFill>
              <w14:schemeClr w14:val="tx1"/>
            </w14:solidFill>
          </w14:textFill>
        </w:rPr>
        <w:t>http://www.smeimdf.org.cn</w:t>
      </w:r>
      <w:r>
        <w:rPr>
          <w:rFonts w:hint="eastAsia" w:ascii="仿宋_GB2312" w:eastAsia="仿宋_GB2312"/>
          <w:color w:val="000000" w:themeColor="text1"/>
          <w:sz w:val="32"/>
          <w:szCs w:val="32"/>
          <w14:textFill>
            <w14:solidFill>
              <w14:schemeClr w14:val="tx1"/>
            </w14:solidFill>
          </w14:textFill>
        </w:rPr>
        <w:t>) 在线填报《资金项目拨付申请表》，提供通过该系统打印的申请表纸质文件原件。</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（三）项目材料</w:t>
      </w:r>
    </w:p>
    <w:p>
      <w:pPr>
        <w:widowControl/>
        <w:shd w:val="clear" w:color="auto" w:fill="FFFFFF"/>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b/>
          <w:color w:val="000000" w:themeColor="text1"/>
          <w:kern w:val="0"/>
          <w:sz w:val="32"/>
          <w:szCs w:val="32"/>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境外展览会项目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①展位费（包括场地和基本搭建）发票或单据</w:t>
      </w:r>
      <w:r>
        <w:rPr>
          <w:rFonts w:hint="eastAsia" w:ascii="仿宋_GB2312" w:hAnsi="宋体" w:eastAsia="仿宋_GB2312" w:cs="宋体"/>
          <w:color w:val="000000" w:themeColor="text1"/>
          <w:kern w:val="0"/>
          <w:sz w:val="32"/>
          <w:szCs w:val="32"/>
          <w14:textFill>
            <w14:solidFill>
              <w14:schemeClr w14:val="tx1"/>
            </w14:solidFill>
          </w14:textFill>
        </w:rPr>
        <w:t>复印件（验原件收复印件）</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②银行支付凭证</w:t>
      </w:r>
      <w:r>
        <w:rPr>
          <w:rFonts w:hint="eastAsia" w:ascii="仿宋_GB2312" w:hAnsi="宋体" w:eastAsia="仿宋_GB2312" w:cs="宋体"/>
          <w:color w:val="000000" w:themeColor="text1"/>
          <w:kern w:val="0"/>
          <w:sz w:val="32"/>
          <w:szCs w:val="32"/>
          <w14:textFill>
            <w14:solidFill>
              <w14:schemeClr w14:val="tx1"/>
            </w14:solidFill>
          </w14:textFill>
        </w:rPr>
        <w:t>复印件(或付汇凭证等银行电子回单)；</w:t>
      </w:r>
    </w:p>
    <w:p>
      <w:pPr>
        <w:widowControl/>
        <w:shd w:val="clear" w:color="auto" w:fill="FFFFFF"/>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③与境内（外）展会主办方或组展方签署的展位合同协议或展位确认函复印件。境内单位主办或通过组展单位参展的，另需提供境内单位主办展会相关凭证材料或展会主办方对组展单位的授权书复印件；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④展会主办方出具的邀请函、展位确认函及展位平面图复印件；</w:t>
      </w:r>
    </w:p>
    <w:p>
      <w:pPr>
        <w:widowControl/>
        <w:shd w:val="clear" w:color="auto" w:fill="FFFFFF"/>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⑤展位现场图片（A4纸打印、标注展位编号、清晰显示参展人员和展位情况）</w:t>
      </w:r>
      <w:r>
        <w:rPr>
          <w:rFonts w:hint="eastAsia" w:ascii="仿宋_GB2312" w:eastAsia="仿宋_GB2312"/>
          <w:color w:val="000000" w:themeColor="text1"/>
          <w:sz w:val="32"/>
          <w:szCs w:val="32"/>
          <w:lang w:eastAsia="zh-CN"/>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w:t>
      </w:r>
      <w:r>
        <w:rPr>
          <w:rFonts w:hint="eastAsia" w:ascii="仿宋_GB2312" w:eastAsia="仿宋_GB2312"/>
          <w:color w:val="000000" w:themeColor="text1"/>
          <w:sz w:val="32"/>
          <w:szCs w:val="32"/>
          <w14:textFill>
            <w14:solidFill>
              <w14:schemeClr w14:val="tx1"/>
            </w14:solidFill>
          </w14:textFill>
        </w:rPr>
        <w:t>展会主办方官方发布的参展</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名录。</w:t>
      </w:r>
    </w:p>
    <w:p>
      <w:pPr>
        <w:widowControl/>
        <w:shd w:val="clear" w:color="auto" w:fill="FFFFFF"/>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.线上展会项目</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①展位费发票</w:t>
      </w:r>
      <w:r>
        <w:rPr>
          <w:rFonts w:hint="eastAsia" w:ascii="仿宋_GB2312" w:hAnsi="宋体" w:eastAsia="仿宋_GB2312" w:cs="宋体"/>
          <w:color w:val="000000" w:themeColor="text1"/>
          <w:kern w:val="0"/>
          <w:sz w:val="32"/>
          <w:szCs w:val="32"/>
          <w14:textFill>
            <w14:solidFill>
              <w14:schemeClr w14:val="tx1"/>
            </w14:solidFill>
          </w14:textFill>
        </w:rPr>
        <w:t>复印件（验原件收复印件）</w:t>
      </w:r>
      <w:r>
        <w:rPr>
          <w:rFonts w:hint="eastAsia"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②银行支付凭证</w:t>
      </w:r>
      <w:r>
        <w:rPr>
          <w:rFonts w:hint="eastAsia" w:ascii="仿宋_GB2312" w:hAnsi="宋体" w:eastAsia="仿宋_GB2312" w:cs="宋体"/>
          <w:color w:val="000000" w:themeColor="text1"/>
          <w:kern w:val="0"/>
          <w:sz w:val="32"/>
          <w:szCs w:val="32"/>
          <w14:textFill>
            <w14:solidFill>
              <w14:schemeClr w14:val="tx1"/>
            </w14:solidFill>
          </w14:textFill>
        </w:rPr>
        <w:t>复印件(或付汇凭证等银行电子回单)；</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③与主办方签署的展位合同协议或展位确认函复印件；</w:t>
      </w:r>
    </w:p>
    <w:p>
      <w:pPr>
        <w:widowControl/>
        <w:shd w:val="clear" w:color="auto" w:fill="FFFFFF"/>
        <w:spacing w:line="560" w:lineRule="exact"/>
        <w:ind w:firstLine="640" w:firstLineChars="200"/>
        <w:rPr>
          <w:rFonts w:ascii="仿宋_GB2312" w:hAnsi="仿宋_GB2312" w:eastAsia="仿宋_GB2312" w:cs="仿宋_GB2312"/>
          <w:color w:val="FF0000"/>
          <w:sz w:val="32"/>
          <w:szCs w:val="32"/>
        </w:rPr>
      </w:pPr>
      <w:r>
        <w:rPr>
          <w:rFonts w:hint="eastAsia" w:ascii="仿宋_GB2312" w:eastAsia="仿宋_GB2312"/>
          <w:color w:val="000000" w:themeColor="text1"/>
          <w:sz w:val="32"/>
          <w:szCs w:val="32"/>
          <w14:textFill>
            <w14:solidFill>
              <w14:schemeClr w14:val="tx1"/>
            </w14:solidFill>
          </w14:textFill>
        </w:rPr>
        <w:t>④线上展会图片，含展会主页及网址、参展</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主页、展品及推广信息。</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以上材料均需加盖</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公章，多页的还需加盖骑缝公章；涉及外文的，需提供中文翻译件；一式两份，A4纸正反面打印/复印，非空白页（含封面）需连续编写页码，装订成册（胶装）。</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七、申请表格</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本指南第六条</w:t>
      </w:r>
      <w:r>
        <w:rPr>
          <w:rFonts w:hint="eastAsia" w:ascii="仿宋_GB2312" w:hAnsi="宋体" w:eastAsia="仿宋_GB2312" w:cs="宋体"/>
          <w:color w:val="000000" w:themeColor="text1"/>
          <w:kern w:val="0"/>
          <w:sz w:val="32"/>
          <w:szCs w:val="32"/>
          <w14:textFill>
            <w14:solidFill>
              <w14:schemeClr w14:val="tx1"/>
            </w14:solidFill>
          </w14:textFill>
        </w:rPr>
        <w:t>（二）所规定申请书和申请表。</w:t>
      </w:r>
    </w:p>
    <w:p>
      <w:pPr>
        <w:spacing w:line="560"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八、受理</w:t>
      </w:r>
      <w:r>
        <w:rPr>
          <w:rFonts w:hint="eastAsia" w:ascii="黑体" w:hAnsi="黑体" w:eastAsia="黑体"/>
          <w:color w:val="000000" w:themeColor="text1"/>
          <w:sz w:val="32"/>
          <w:szCs w:val="32"/>
          <w:lang w:val="en-US" w:eastAsia="zh-CN"/>
          <w14:textFill>
            <w14:solidFill>
              <w14:schemeClr w14:val="tx1"/>
            </w14:solidFill>
          </w14:textFill>
        </w:rPr>
        <w:t>信息</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（一）受理机关：深圳市商务局</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（二）受理时间</w:t>
      </w:r>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网络填报时间：</w:t>
      </w:r>
      <w:r>
        <w:rPr>
          <w:rFonts w:hint="eastAsia" w:ascii="仿宋_GB2312" w:hAnsi="宋体" w:eastAsia="仿宋_GB2312" w:cs="宋体"/>
          <w:color w:val="000000" w:themeColor="text1"/>
          <w:kern w:val="0"/>
          <w:sz w:val="32"/>
          <w:szCs w:val="32"/>
          <w:highlight w:val="none"/>
          <w14:textFill>
            <w14:solidFill>
              <w14:schemeClr w14:val="tx1"/>
            </w14:solidFill>
          </w14:textFill>
        </w:rPr>
        <w:t>20</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21</w:t>
      </w:r>
      <w:r>
        <w:rPr>
          <w:rFonts w:hint="eastAsia" w:ascii="仿宋_GB2312" w:hAnsi="宋体" w:eastAsia="仿宋_GB2312" w:cs="宋体"/>
          <w:color w:val="000000" w:themeColor="text1"/>
          <w:kern w:val="0"/>
          <w:sz w:val="32"/>
          <w:szCs w:val="32"/>
          <w:highlight w:val="none"/>
          <w14:textFill>
            <w14:solidFill>
              <w14:schemeClr w14:val="tx1"/>
            </w14:solidFill>
          </w14:textFill>
        </w:rPr>
        <w:t>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highlight w:val="none"/>
          <w14:textFill>
            <w14:solidFill>
              <w14:schemeClr w14:val="tx1"/>
            </w14:solidFill>
          </w14:textFill>
        </w:rPr>
        <w:t>月</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 w:val="32"/>
          <w:szCs w:val="32"/>
          <w:highlight w:val="none"/>
          <w14:textFill>
            <w14:solidFill>
              <w14:schemeClr w14:val="tx1"/>
            </w14:solidFill>
          </w14:textFill>
        </w:rPr>
        <w:t>日-</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2021年9</w:t>
      </w:r>
      <w:r>
        <w:rPr>
          <w:rFonts w:hint="eastAsia" w:ascii="仿宋_GB2312" w:hAnsi="宋体" w:eastAsia="仿宋_GB2312" w:cs="宋体"/>
          <w:color w:val="000000" w:themeColor="text1"/>
          <w:kern w:val="0"/>
          <w:sz w:val="32"/>
          <w:szCs w:val="32"/>
          <w:highlight w:val="none"/>
          <w14:textFill>
            <w14:solidFill>
              <w14:schemeClr w14:val="tx1"/>
            </w14:solidFill>
          </w14:textFill>
        </w:rPr>
        <w:t>月</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材料提交时间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月6日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2021年9月17日17:45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申报单位在上述规定时间内在线填报、提交材料，逾期不予受理。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受理地点：深圳市福田区福中三路市民中心B区市行政服务大厅西厅综合窗口（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（四）项目申报咨询电话：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0755-23481710、25331219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25331220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25331076</w:t>
      </w:r>
      <w:r>
        <w:rPr>
          <w:rFonts w:hint="eastAsia" w:ascii="仿宋_GB2312" w:hAnsi="仿宋_GB2312" w:eastAsia="仿宋_GB2312" w:cs="仿宋_GB2312"/>
          <w:color w:val="000000" w:themeColor="text1"/>
          <w:sz w:val="32"/>
          <w:szCs w:val="32"/>
          <w14:textFill>
            <w14:solidFill>
              <w14:schemeClr w14:val="tx1"/>
            </w14:solidFill>
          </w14:textFill>
        </w:rPr>
        <w:t>；系统技术服务电话：0755-25331216。</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九、申请决定机关</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深圳市商务局</w:t>
      </w:r>
    </w:p>
    <w:p>
      <w:pPr>
        <w:tabs>
          <w:tab w:val="center" w:pos="4153"/>
        </w:tabs>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十、办理流程</w:t>
      </w:r>
      <w:r>
        <w:rPr>
          <w:rFonts w:hint="eastAsia" w:ascii="黑体" w:hAnsi="黑体" w:eastAsia="黑体"/>
          <w:color w:val="000000" w:themeColor="text1"/>
          <w:sz w:val="32"/>
          <w:szCs w:val="32"/>
          <w14:textFill>
            <w14:solidFill>
              <w14:schemeClr w14:val="tx1"/>
            </w14:solidFill>
          </w14:textFill>
        </w:rPr>
        <w:tab/>
      </w:r>
    </w:p>
    <w:p>
      <w:pPr>
        <w:spacing w:line="560" w:lineRule="exact"/>
        <w:ind w:firstLine="640" w:firstLineChars="200"/>
        <w:outlineLvl w:val="0"/>
        <w:rPr>
          <w:rFonts w:hint="eastAsia" w:ascii="仿宋_GB2312" w:hAnsi="仿宋_GB2312" w:eastAsia="仿宋_GB2312"/>
          <w:color w:val="auto"/>
          <w:kern w:val="2"/>
          <w:sz w:val="32"/>
          <w:szCs w:val="32"/>
          <w:lang w:bidi="ar"/>
        </w:rPr>
      </w:pPr>
      <w:r>
        <w:rPr>
          <w:rFonts w:hint="eastAsia" w:ascii="仿宋_GB2312" w:hAnsi="仿宋_GB2312" w:eastAsia="仿宋_GB2312"/>
          <w:color w:val="auto"/>
          <w:kern w:val="2"/>
          <w:sz w:val="32"/>
          <w:szCs w:val="32"/>
          <w:lang w:val="en-US" w:eastAsia="zh-CN" w:bidi="ar"/>
        </w:rPr>
        <w:t>申请人</w:t>
      </w:r>
      <w:r>
        <w:rPr>
          <w:rFonts w:hint="eastAsia" w:ascii="仿宋_GB2312" w:hAnsi="仿宋_GB2312" w:eastAsia="仿宋_GB2312"/>
          <w:color w:val="auto"/>
          <w:sz w:val="32"/>
          <w:szCs w:val="32"/>
          <w:lang w:bidi="ar"/>
        </w:rPr>
        <w:t>网上申报</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sz w:val="32"/>
          <w:szCs w:val="32"/>
          <w:lang w:bidi="ar"/>
        </w:rPr>
        <w:t>提交申请材料——</w:t>
      </w:r>
      <w:r>
        <w:rPr>
          <w:rFonts w:hint="eastAsia" w:ascii="仿宋_GB2312" w:hAnsi="仿宋_GB2312" w:eastAsia="仿宋_GB2312"/>
          <w:color w:val="auto"/>
          <w:sz w:val="32"/>
          <w:szCs w:val="32"/>
          <w:lang w:val="en-US" w:eastAsia="zh-CN" w:bidi="ar"/>
        </w:rPr>
        <w:t>市商务局开展</w:t>
      </w:r>
      <w:r>
        <w:rPr>
          <w:rFonts w:hint="eastAsia" w:ascii="仿宋_GB2312" w:hAnsi="仿宋_GB2312" w:eastAsia="仿宋_GB2312"/>
          <w:color w:val="auto"/>
          <w:kern w:val="2"/>
          <w:sz w:val="32"/>
          <w:szCs w:val="32"/>
          <w:lang w:val="en-US" w:eastAsia="zh-CN" w:bidi="ar"/>
        </w:rPr>
        <w:t>形式审查</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kern w:val="2"/>
          <w:sz w:val="32"/>
          <w:szCs w:val="32"/>
          <w:lang w:val="en-US" w:eastAsia="zh-CN" w:bidi="ar"/>
        </w:rPr>
        <w:t>实质审查（资质审查、统计数据核查</w:t>
      </w:r>
      <w:r>
        <w:rPr>
          <w:rFonts w:hint="eastAsia" w:ascii="仿宋_GB2312" w:hAnsi="仿宋_GB2312" w:eastAsia="仿宋_GB2312"/>
          <w:color w:val="auto"/>
          <w:kern w:val="2"/>
          <w:sz w:val="32"/>
          <w:szCs w:val="32"/>
          <w:lang w:eastAsia="zh-CN" w:bidi="ar"/>
        </w:rPr>
        <w:t>、</w:t>
      </w:r>
      <w:r>
        <w:rPr>
          <w:rFonts w:hint="eastAsia" w:ascii="仿宋_GB2312" w:hAnsi="仿宋_GB2312" w:eastAsia="仿宋_GB2312"/>
          <w:color w:val="auto"/>
          <w:kern w:val="2"/>
          <w:sz w:val="32"/>
          <w:szCs w:val="32"/>
          <w:lang w:val="en-US" w:eastAsia="zh-CN" w:bidi="ar"/>
        </w:rPr>
        <w:t>失信联合惩戒核查等）——专项</w:t>
      </w:r>
      <w:r>
        <w:rPr>
          <w:rFonts w:hint="eastAsia" w:ascii="仿宋_GB2312" w:hAnsi="仿宋_GB2312" w:eastAsia="仿宋_GB2312"/>
          <w:color w:val="auto"/>
          <w:kern w:val="2"/>
          <w:sz w:val="32"/>
          <w:szCs w:val="32"/>
          <w:lang w:bidi="ar"/>
        </w:rPr>
        <w:t>审计</w:t>
      </w:r>
      <w:r>
        <w:rPr>
          <w:rFonts w:hint="eastAsia" w:ascii="仿宋_GB2312" w:hAnsi="仿宋_GB2312" w:eastAsia="仿宋_GB2312"/>
          <w:color w:val="auto"/>
          <w:kern w:val="2"/>
          <w:sz w:val="32"/>
          <w:szCs w:val="32"/>
          <w:lang w:eastAsia="zh-CN" w:bidi="ar"/>
        </w:rPr>
        <w:t>——</w:t>
      </w:r>
      <w:r>
        <w:rPr>
          <w:rFonts w:hint="eastAsia" w:ascii="仿宋_GB2312" w:hAnsi="仿宋_GB2312" w:eastAsia="仿宋_GB2312"/>
          <w:color w:val="auto"/>
          <w:kern w:val="2"/>
          <w:sz w:val="32"/>
          <w:szCs w:val="32"/>
          <w:lang w:val="en-US" w:eastAsia="zh-CN" w:bidi="ar"/>
        </w:rPr>
        <w:t>根据需要征求有关单位意见（是否重复资助、是否拖欠应缴还的财政性资金、是否存在其他重大违法违规行为等）</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kern w:val="2"/>
          <w:sz w:val="32"/>
          <w:szCs w:val="32"/>
          <w:lang w:val="en-US" w:eastAsia="zh-CN" w:bidi="ar"/>
        </w:rPr>
        <w:t>拟</w:t>
      </w:r>
      <w:r>
        <w:rPr>
          <w:rFonts w:hint="eastAsia" w:ascii="仿宋_GB2312" w:hAnsi="仿宋_GB2312" w:eastAsia="仿宋_GB2312"/>
          <w:color w:val="auto"/>
          <w:sz w:val="32"/>
          <w:szCs w:val="32"/>
          <w:lang w:bidi="ar"/>
        </w:rPr>
        <w:t>定资助计划</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sz w:val="32"/>
          <w:szCs w:val="32"/>
          <w:lang w:bidi="ar"/>
        </w:rPr>
        <w:t>社会公示</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kern w:val="2"/>
          <w:sz w:val="32"/>
          <w:szCs w:val="32"/>
          <w:lang w:val="en-US" w:eastAsia="zh-CN" w:bidi="ar"/>
        </w:rPr>
        <w:t>核定资助计划——办理拨款手续——</w:t>
      </w:r>
      <w:r>
        <w:rPr>
          <w:rFonts w:hint="eastAsia" w:ascii="仿宋_GB2312" w:hAnsi="仿宋_GB2312" w:eastAsia="仿宋_GB2312"/>
          <w:color w:val="auto"/>
          <w:kern w:val="2"/>
          <w:sz w:val="32"/>
          <w:szCs w:val="32"/>
          <w:lang w:bidi="ar"/>
        </w:rPr>
        <w:t>拨付资金。</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十一、办理时限</w:t>
      </w:r>
    </w:p>
    <w:p>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根据财政部、商务部</w:t>
      </w:r>
      <w:r>
        <w:rPr>
          <w:rFonts w:hint="eastAsia"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年度工作通知要求办理。</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十二、证件及有效期</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证件：无</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有效期限：无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十三、证件的法律效力</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十四、收费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十五、年审或年检</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十六、监督检查和补充说明</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获得资金支持的申报单位，应当按照国家有关财务、会计制度的规定进行账务处理，严格按照规定使用资金，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（三）已经资助过的项目不得重复申报；同一单位建设内容相同或部分相同项目、同一笔费用支出不得向有关部门多头申报。经核实属重复申报或多头申报的项目，将取消该单位的申报资格并追究责任。</w:t>
      </w:r>
    </w:p>
    <w:p>
      <w:pPr>
        <w:spacing w:line="560" w:lineRule="exact"/>
        <w:ind w:firstLine="640" w:firstLineChars="200"/>
        <w:contextualSpacing/>
        <w:outlineLvl w:val="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eastAsia="zh-CN"/>
          <w14:textFill>
            <w14:solidFill>
              <w14:schemeClr w14:val="tx1"/>
            </w14:solidFill>
          </w14:textFill>
        </w:rPr>
        <w:t>企业提供的纸质材料和填报的电子材料要保持一致，如果出现不同，按未提交处理。</w:t>
      </w:r>
    </w:p>
    <w:p>
      <w:pPr>
        <w:spacing w:line="560" w:lineRule="exact"/>
        <w:ind w:firstLine="640" w:firstLineChars="200"/>
        <w:contextualSpacing/>
        <w:outlineLvl w:val="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五</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在项目申报期间发生公司名称、联系电话变更的，要及时提供变更材料，如因未及时变更产生的后果由企业自行承担。</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）我局从未委托任何单位和个人为</w:t>
      </w:r>
      <w:r>
        <w:rPr>
          <w:rFonts w:hint="eastAsia" w:ascii="仿宋_GB2312" w:eastAsia="仿宋_GB2312"/>
          <w:color w:val="000000" w:themeColor="text1"/>
          <w:sz w:val="32"/>
          <w:szCs w:val="32"/>
          <w:lang w:val="en-US" w:eastAsia="zh-CN"/>
          <w14:textFill>
            <w14:solidFill>
              <w14:schemeClr w14:val="tx1"/>
            </w14:solidFill>
          </w14:textFill>
        </w:rPr>
        <w:t>申报单位</w:t>
      </w:r>
      <w:r>
        <w:rPr>
          <w:rFonts w:hint="eastAsia" w:ascii="仿宋_GB2312" w:eastAsia="仿宋_GB2312"/>
          <w:color w:val="000000" w:themeColor="text1"/>
          <w:sz w:val="32"/>
          <w:szCs w:val="32"/>
          <w14:textFill>
            <w14:solidFill>
              <w14:schemeClr w14:val="tx1"/>
            </w14:solidFill>
          </w14:textFill>
        </w:rPr>
        <w:t>代理专项资金扶持计划项目申报事宜。请相关</w:t>
      </w:r>
      <w:r>
        <w:rPr>
          <w:rFonts w:hint="eastAsia" w:ascii="仿宋_GB2312" w:eastAsia="仿宋_GB2312"/>
          <w:color w:val="000000" w:themeColor="text1"/>
          <w:sz w:val="32"/>
          <w:szCs w:val="32"/>
          <w:lang w:val="en-US" w:eastAsia="zh-CN"/>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自主申报。我局将严格按照有关标准和程序受理申请，不收取任何费用。如有任何中介机构和个人假借我局和工作人员名义向</w:t>
      </w:r>
      <w:r>
        <w:rPr>
          <w:rFonts w:hint="eastAsia" w:ascii="仿宋_GB2312" w:eastAsia="仿宋_GB2312"/>
          <w:color w:val="000000" w:themeColor="text1"/>
          <w:sz w:val="32"/>
          <w:szCs w:val="32"/>
          <w:lang w:val="en-US" w:eastAsia="zh-CN"/>
          <w14:textFill>
            <w14:solidFill>
              <w14:schemeClr w14:val="tx1"/>
            </w14:solidFill>
          </w14:textFill>
        </w:rPr>
        <w:t>申报单位</w:t>
      </w:r>
      <w:r>
        <w:rPr>
          <w:rFonts w:hint="eastAsia" w:ascii="仿宋_GB2312" w:eastAsia="仿宋_GB2312"/>
          <w:color w:val="000000" w:themeColor="text1"/>
          <w:sz w:val="32"/>
          <w:szCs w:val="32"/>
          <w14:textFill>
            <w14:solidFill>
              <w14:schemeClr w14:val="tx1"/>
            </w14:solidFill>
          </w14:textFill>
        </w:rPr>
        <w:t>收取费用的，请知情者即向我局举报。</w:t>
      </w:r>
    </w:p>
    <w:p>
      <w:pPr>
        <w:widowControl/>
        <w:adjustRightInd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七</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资助拨款按照申请书银行账户信息办理。因</w:t>
      </w:r>
      <w:r>
        <w:rPr>
          <w:rFonts w:hint="eastAsia" w:ascii="仿宋_GB2312" w:hAnsi="宋体" w:eastAsia="仿宋_GB2312" w:cs="宋体"/>
          <w:strike w:val="0"/>
          <w:dstrike w:val="0"/>
          <w:color w:val="000000" w:themeColor="text1"/>
          <w:kern w:val="0"/>
          <w:sz w:val="32"/>
          <w:szCs w:val="32"/>
          <w:shd w:val="clear" w:color="auto" w:fill="auto"/>
          <w:lang w:val="en-US" w:eastAsia="zh-CN"/>
          <w14:textFill>
            <w14:solidFill>
              <w14:schemeClr w14:val="tx1"/>
            </w14:solidFill>
          </w14:textFill>
        </w:rPr>
        <w:t>企业</w:t>
      </w:r>
      <w:r>
        <w:rPr>
          <w:rFonts w:hint="eastAsia" w:ascii="仿宋_GB2312" w:hAnsi="宋体" w:eastAsia="仿宋_GB2312" w:cs="宋体"/>
          <w:color w:val="000000" w:themeColor="text1"/>
          <w:kern w:val="0"/>
          <w:sz w:val="32"/>
          <w:szCs w:val="32"/>
          <w14:textFill>
            <w14:solidFill>
              <w14:schemeClr w14:val="tx1"/>
            </w14:solidFill>
          </w14:textFill>
        </w:rPr>
        <w:t>名称变化、账户信息更改或</w:t>
      </w:r>
      <w:r>
        <w:rPr>
          <w:rFonts w:hint="eastAsia" w:ascii="仿宋_GB2312" w:hAnsi="宋体" w:eastAsia="仿宋_GB2312" w:cs="宋体"/>
          <w:strike w:val="0"/>
          <w:dstrike w:val="0"/>
          <w:color w:val="000000" w:themeColor="text1"/>
          <w:kern w:val="0"/>
          <w:sz w:val="32"/>
          <w:szCs w:val="32"/>
          <w:lang w:val="en-US" w:eastAsia="zh-CN"/>
          <w14:textFill>
            <w14:solidFill>
              <w14:schemeClr w14:val="tx1"/>
            </w14:solidFill>
          </w14:textFill>
        </w:rPr>
        <w:t>企业</w:t>
      </w:r>
      <w:r>
        <w:rPr>
          <w:rFonts w:hint="eastAsia" w:ascii="仿宋_GB2312" w:hAnsi="宋体" w:eastAsia="仿宋_GB2312" w:cs="宋体"/>
          <w:color w:val="000000" w:themeColor="text1"/>
          <w:kern w:val="0"/>
          <w:sz w:val="32"/>
          <w:szCs w:val="32"/>
          <w14:textFill>
            <w14:solidFill>
              <w14:schemeClr w14:val="tx1"/>
            </w14:solidFill>
          </w14:textFill>
        </w:rPr>
        <w:t>填写错误等原因导致拨付不成功的，原则上予以办理一次拨款信息更改并再次拨付。</w:t>
      </w:r>
      <w:r>
        <w:rPr>
          <w:rFonts w:hint="eastAsia" w:ascii="仿宋_GB2312" w:hAnsi="宋体" w:eastAsia="仿宋_GB2312"/>
          <w:color w:val="000000" w:themeColor="text1"/>
          <w:sz w:val="32"/>
          <w:szCs w:val="32"/>
          <w:lang w:val="en-US" w:eastAsia="zh-CN"/>
          <w14:textFill>
            <w14:solidFill>
              <w14:schemeClr w14:val="tx1"/>
            </w14:solidFill>
          </w14:textFill>
        </w:rPr>
        <w:t>企业</w:t>
      </w:r>
      <w:r>
        <w:rPr>
          <w:rFonts w:hint="eastAsia" w:ascii="仿宋_GB2312" w:hAnsi="宋体" w:eastAsia="仿宋_GB2312"/>
          <w:color w:val="000000" w:themeColor="text1"/>
          <w:sz w:val="32"/>
          <w:szCs w:val="32"/>
          <w14:textFill>
            <w14:solidFill>
              <w14:schemeClr w14:val="tx1"/>
            </w14:solidFill>
          </w14:textFill>
        </w:rPr>
        <w:t>应当按照要求办理资金拨款手续。</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32"/>
        <w:szCs w:val="32"/>
      </w:rPr>
      <w:id w:val="-689145780"/>
    </w:sdtPr>
    <w:sdtEndPr>
      <w:rPr>
        <w:rFonts w:hint="eastAsia" w:ascii="仿宋_GB2312" w:hAnsi="仿宋_GB2312" w:eastAsia="仿宋_GB2312" w:cs="仿宋_GB2312"/>
        <w:sz w:val="32"/>
        <w:szCs w:val="32"/>
      </w:rPr>
    </w:sdtEndPr>
    <w:sdtContent>
      <w:p>
        <w:pPr>
          <w:pStyle w:val="2"/>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 10 -</w:t>
        </w:r>
        <w:r>
          <w:rPr>
            <w:rFonts w:hint="eastAsia" w:ascii="仿宋_GB2312" w:hAnsi="仿宋_GB2312" w:eastAsia="仿宋_GB2312" w:cs="仿宋_GB2312"/>
            <w:sz w:val="32"/>
            <w:szCs w:val="32"/>
          </w:rPr>
          <w:fldChar w:fldCharType="end"/>
        </w:r>
      </w:p>
    </w:sdtContent>
  </w:sdt>
  <w:p>
    <w:pPr>
      <w:pStyle w:val="2"/>
      <w:rPr>
        <w:rFonts w:hint="eastAsia"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958E1"/>
    <w:multiLevelType w:val="singleLevel"/>
    <w:tmpl w:val="EB1958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419EF"/>
    <w:rsid w:val="0CB31AF0"/>
    <w:rsid w:val="13707E77"/>
    <w:rsid w:val="1417343F"/>
    <w:rsid w:val="17496A4C"/>
    <w:rsid w:val="1AE30006"/>
    <w:rsid w:val="203B5C97"/>
    <w:rsid w:val="22AA4F68"/>
    <w:rsid w:val="25CC70A5"/>
    <w:rsid w:val="27EE6CD9"/>
    <w:rsid w:val="29236148"/>
    <w:rsid w:val="29F60060"/>
    <w:rsid w:val="2BD609A2"/>
    <w:rsid w:val="2F077C5B"/>
    <w:rsid w:val="3001126A"/>
    <w:rsid w:val="370B567D"/>
    <w:rsid w:val="39B6399E"/>
    <w:rsid w:val="40324F91"/>
    <w:rsid w:val="44AD3575"/>
    <w:rsid w:val="48800C4E"/>
    <w:rsid w:val="49D47F76"/>
    <w:rsid w:val="5246447D"/>
    <w:rsid w:val="56525023"/>
    <w:rsid w:val="57AA58DC"/>
    <w:rsid w:val="587F212C"/>
    <w:rsid w:val="5A1E6BC6"/>
    <w:rsid w:val="5EC45CEC"/>
    <w:rsid w:val="650A437B"/>
    <w:rsid w:val="69E50FEC"/>
    <w:rsid w:val="6B7258F8"/>
    <w:rsid w:val="6F2A0D2B"/>
    <w:rsid w:val="70267C90"/>
    <w:rsid w:val="77C53518"/>
    <w:rsid w:val="7D646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2021-07-19T17:25:00Z</dcterms:created>
  <dc:creator>青</dc:creator>
  <cp:lastModifiedBy>吴晓琳</cp:lastModifiedBy>
  <cp:lastPrinted>2021-07-21T13:26:00Z</cp:lastPrinted>
  <dcterms:modified xsi:type="dcterms:W3CDTF">2021-08-05T06:24:07Z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0158117C9E0A458092DCF3DC90BF5B48</vt:lpwstr>
  </property>
</Properties>
</file>