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2B" w:rsidRDefault="00301E2B" w:rsidP="00301E2B">
      <w:pPr>
        <w:spacing w:line="500" w:lineRule="exact"/>
        <w:rPr>
          <w:rFonts w:ascii="黑体" w:eastAsia="黑体" w:hAnsi="黑体" w:cs="黑体"/>
          <w:sz w:val="32"/>
          <w:szCs w:val="32"/>
        </w:rPr>
      </w:pPr>
      <w:r>
        <w:rPr>
          <w:rFonts w:ascii="黑体" w:eastAsia="黑体" w:hAnsi="黑体" w:cs="黑体" w:hint="eastAsia"/>
          <w:sz w:val="32"/>
          <w:szCs w:val="32"/>
        </w:rPr>
        <w:t>附件</w:t>
      </w:r>
      <w:bookmarkStart w:id="0" w:name="_GoBack"/>
      <w:bookmarkEnd w:id="0"/>
    </w:p>
    <w:p w:rsidR="00301E2B" w:rsidRDefault="00301E2B" w:rsidP="00301E2B">
      <w:pPr>
        <w:spacing w:line="560" w:lineRule="exact"/>
        <w:jc w:val="center"/>
        <w:rPr>
          <w:rFonts w:ascii="方正小标宋简体" w:eastAsia="方正小标宋简体" w:hAnsi="方正小标宋简体" w:cs="方正小标宋简体"/>
          <w:sz w:val="44"/>
          <w:szCs w:val="44"/>
        </w:rPr>
      </w:pPr>
    </w:p>
    <w:p w:rsidR="00301E2B" w:rsidRDefault="00301E2B" w:rsidP="00301E2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301E2B" w:rsidRDefault="00301E2B" w:rsidP="00301E2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扶持计划国家级数字商务企业等</w:t>
      </w:r>
    </w:p>
    <w:p w:rsidR="00301E2B" w:rsidRDefault="00301E2B" w:rsidP="00301E2B">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三个奖励项目申报指南</w:t>
      </w:r>
    </w:p>
    <w:p w:rsidR="00301E2B" w:rsidRDefault="00301E2B" w:rsidP="00301E2B">
      <w:pPr>
        <w:spacing w:line="560" w:lineRule="exact"/>
        <w:rPr>
          <w:rFonts w:ascii="黑体" w:eastAsia="黑体" w:hAnsi="黑体"/>
          <w:sz w:val="32"/>
          <w:szCs w:val="32"/>
        </w:rPr>
      </w:pP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推动电子商务加快发展若干措施的通知》（深府办规〔2020〕9号，以下简称《若干措施》），对国家级数字商务企业、网络零售企业、深圳对口帮扶的电子商务平台企业等给予支持。</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301E2B" w:rsidRDefault="00301E2B" w:rsidP="00301E2B">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1.《深圳市关于推动电子商务加快发展的若干措施》（深府办规〔2020〕9号）。</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301E2B" w:rsidRDefault="00301E2B" w:rsidP="00301E2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《深圳市商务发展专项资金管理办法》（深商务规〔2020〕2号）。</w:t>
      </w:r>
    </w:p>
    <w:p w:rsidR="00301E2B" w:rsidRDefault="00301E2B" w:rsidP="00301E2B">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301E2B" w:rsidRDefault="00301E2B" w:rsidP="00301E2B">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301E2B" w:rsidRDefault="00301E2B" w:rsidP="00301E2B">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有数量限制，受财政下达年度资金预算控制，视申报情况，我局据以对奖励金额和拨付进度等进行统一调整，申报单位应无条件同意调整结果。</w:t>
      </w:r>
    </w:p>
    <w:p w:rsidR="00301E2B" w:rsidRDefault="00301E2B" w:rsidP="00301E2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（二）支持方式</w:t>
      </w:r>
    </w:p>
    <w:p w:rsidR="00301E2B" w:rsidRDefault="00301E2B" w:rsidP="00301E2B">
      <w:pPr>
        <w:spacing w:line="560" w:lineRule="exact"/>
        <w:ind w:firstLine="640"/>
        <w:rPr>
          <w:rFonts w:ascii="仿宋_GB2312" w:eastAsia="仿宋_GB2312"/>
          <w:sz w:val="32"/>
          <w:szCs w:val="32"/>
        </w:rPr>
      </w:pPr>
      <w:r>
        <w:rPr>
          <w:rFonts w:ascii="仿宋_GB2312" w:eastAsia="仿宋_GB2312" w:hint="eastAsia"/>
          <w:sz w:val="32"/>
          <w:szCs w:val="32"/>
        </w:rPr>
        <w:t>事后奖励。</w:t>
      </w:r>
    </w:p>
    <w:p w:rsidR="00301E2B" w:rsidRDefault="00301E2B" w:rsidP="00301E2B">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301E2B" w:rsidRDefault="00301E2B" w:rsidP="00301E2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1.申报主体为在深圳市内（含深汕特别合作区）依法登记注册的法人企业、事业单位、民办非企业单位等组织；</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2.申报主体持续诚信合规经营，未被国家、省、市相关部门列入失信联合惩戒名单；</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3.申报主体应当对申报材料的真实性、合法性、完整性负责，应如实提供本单位信用状况，承担违约责任并作出承诺，不得弄虚作假、套取、骗取专项资金；</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4.申报主体具备实施申请项目所需的资金、人员、场地、设备等主要保障条件；</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5.申报主体按要求向统计部门和商务主管部门报送统计数据，并确保在项目申报时提交的营业收入等经营指标数据与报送的统计数据保持一致；</w:t>
      </w:r>
    </w:p>
    <w:p w:rsidR="00301E2B" w:rsidRDefault="00301E2B" w:rsidP="00301E2B">
      <w:pPr>
        <w:pStyle w:val="a7"/>
        <w:ind w:firstLine="640"/>
        <w:rPr>
          <w:rFonts w:cs="仿宋_GB2312"/>
          <w:color w:val="000000"/>
          <w:kern w:val="0"/>
          <w:lang w:bidi="ar"/>
        </w:rPr>
      </w:pPr>
      <w:r>
        <w:rPr>
          <w:rFonts w:cs="仿宋_GB2312" w:hint="eastAsia"/>
          <w:color w:val="000000"/>
          <w:kern w:val="0"/>
          <w:lang w:bidi="ar"/>
        </w:rPr>
        <w:t>6.申报主体不存在就同一项目或项目的部分内容向市有关部门进行多头申报或重复申报的情形。</w:t>
      </w:r>
    </w:p>
    <w:p w:rsidR="00301E2B" w:rsidRDefault="00301E2B" w:rsidP="00301E2B">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rsidR="00301E2B" w:rsidRDefault="00301E2B" w:rsidP="00301E2B">
      <w:pPr>
        <w:spacing w:line="560" w:lineRule="exact"/>
        <w:ind w:firstLine="630"/>
        <w:rPr>
          <w:rFonts w:ascii="楷体_GB2312" w:eastAsia="楷体_GB2312" w:hAnsi="楷体_GB2312" w:cs="楷体_GB2312"/>
          <w:bCs/>
          <w:sz w:val="32"/>
          <w:szCs w:val="32"/>
        </w:rPr>
      </w:pPr>
      <w:bookmarkStart w:id="1" w:name="_Hlk44882405"/>
      <w:r>
        <w:rPr>
          <w:rFonts w:ascii="楷体_GB2312" w:eastAsia="楷体_GB2312" w:hAnsi="楷体_GB2312" w:cs="楷体_GB2312" w:hint="eastAsia"/>
          <w:bCs/>
          <w:sz w:val="32"/>
          <w:szCs w:val="32"/>
        </w:rPr>
        <w:t>1</w:t>
      </w:r>
      <w:r>
        <w:rPr>
          <w:rFonts w:ascii="仿宋_GB2312" w:eastAsia="仿宋_GB2312" w:hint="eastAsia"/>
          <w:sz w:val="32"/>
          <w:szCs w:val="32"/>
        </w:rPr>
        <w:t>.</w:t>
      </w:r>
      <w:r>
        <w:rPr>
          <w:rFonts w:ascii="楷体_GB2312" w:eastAsia="楷体_GB2312" w:hAnsi="楷体_GB2312" w:cs="楷体_GB2312" w:hint="eastAsia"/>
          <w:bCs/>
          <w:sz w:val="32"/>
          <w:szCs w:val="32"/>
        </w:rPr>
        <w:t>国家级数字商务企业奖励项目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2019、2020年获批的国家级数字商务企业</w:t>
      </w:r>
      <w:r>
        <w:rPr>
          <w:rFonts w:ascii="仿宋_GB2312" w:eastAsia="仿宋_GB2312" w:hint="eastAsia"/>
          <w:sz w:val="32"/>
          <w:szCs w:val="32"/>
        </w:rPr>
        <w:t>。企业名单以《商务部办公厅关于确认首批线上线下融合发展数字商务企业的通知》（商办电函</w:t>
      </w:r>
      <w:r>
        <w:rPr>
          <w:rFonts w:ascii="仿宋_GB2312" w:eastAsia="仿宋_GB2312" w:hAnsi="仿宋_GB2312" w:cs="仿宋_GB2312" w:hint="eastAsia"/>
          <w:sz w:val="32"/>
          <w:szCs w:val="32"/>
        </w:rPr>
        <w:t>〔2019〕406号</w:t>
      </w:r>
      <w:r>
        <w:rPr>
          <w:rFonts w:ascii="仿宋_GB2312" w:eastAsia="仿宋_GB2312" w:hint="eastAsia"/>
          <w:sz w:val="32"/>
          <w:szCs w:val="32"/>
        </w:rPr>
        <w:t>）和《商务部办公厅关于确认第二批数字商务企业的通知》（商办电函</w:t>
      </w:r>
      <w:r>
        <w:rPr>
          <w:rFonts w:ascii="仿宋_GB2312" w:eastAsia="仿宋_GB2312" w:hAnsi="仿宋_GB2312" w:cs="仿宋_GB2312" w:hint="eastAsia"/>
          <w:sz w:val="32"/>
          <w:szCs w:val="32"/>
        </w:rPr>
        <w:t>〔2020〕391</w:t>
      </w:r>
      <w:r>
        <w:rPr>
          <w:rFonts w:ascii="仿宋_GB2312" w:eastAsia="仿宋_GB2312" w:hAnsi="仿宋_GB2312" w:cs="仿宋_GB2312" w:hint="eastAsia"/>
          <w:sz w:val="32"/>
          <w:szCs w:val="32"/>
        </w:rPr>
        <w:lastRenderedPageBreak/>
        <w:t>号</w:t>
      </w:r>
      <w:r>
        <w:rPr>
          <w:rFonts w:ascii="仿宋_GB2312" w:eastAsia="仿宋_GB2312" w:hint="eastAsia"/>
          <w:sz w:val="32"/>
          <w:szCs w:val="32"/>
        </w:rPr>
        <w:t>）为准。</w:t>
      </w:r>
    </w:p>
    <w:p w:rsidR="00301E2B" w:rsidRDefault="00301E2B" w:rsidP="00301E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2.网络零售额纳统贡献奖励项目</w:t>
      </w:r>
    </w:p>
    <w:p w:rsidR="00301E2B" w:rsidRDefault="00301E2B" w:rsidP="00301E2B">
      <w:pPr>
        <w:spacing w:line="560" w:lineRule="exact"/>
        <w:ind w:firstLine="63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color w:val="000000"/>
          <w:sz w:val="32"/>
          <w:szCs w:val="32"/>
        </w:rPr>
        <w:t>通过自营平台或第三方平台开展网络零售，2020年度首次纳统并超过5000万元的企业</w:t>
      </w:r>
      <w:r>
        <w:rPr>
          <w:rFonts w:ascii="仿宋_GB2312" w:eastAsia="仿宋_GB2312" w:hint="eastAsia"/>
          <w:sz w:val="32"/>
          <w:szCs w:val="32"/>
        </w:rPr>
        <w:t>；</w:t>
      </w:r>
    </w:p>
    <w:p w:rsidR="00301E2B" w:rsidRDefault="00301E2B" w:rsidP="00301E2B">
      <w:pPr>
        <w:pStyle w:val="a6"/>
        <w:widowControl/>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int="eastAsia"/>
          <w:sz w:val="32"/>
          <w:szCs w:val="32"/>
        </w:rPr>
        <w:t>（2）2020年度</w:t>
      </w:r>
      <w:r>
        <w:rPr>
          <w:rFonts w:ascii="仿宋_GB2312" w:eastAsia="仿宋_GB2312" w:hAnsi="仿宋_GB2312" w:cs="仿宋_GB2312" w:hint="eastAsia"/>
          <w:color w:val="000000"/>
          <w:sz w:val="32"/>
          <w:szCs w:val="32"/>
        </w:rPr>
        <w:t>网络零售额超过10亿元的企业。</w:t>
      </w:r>
    </w:p>
    <w:p w:rsidR="00301E2B" w:rsidRDefault="00301E2B" w:rsidP="00301E2B">
      <w:pPr>
        <w:spacing w:line="560" w:lineRule="exact"/>
        <w:ind w:firstLine="630"/>
        <w:rPr>
          <w:rFonts w:ascii="仿宋_GB2312" w:eastAsia="仿宋_GB2312"/>
          <w:sz w:val="32"/>
          <w:szCs w:val="32"/>
        </w:rPr>
      </w:pPr>
      <w:r>
        <w:rPr>
          <w:rFonts w:ascii="仿宋_GB2312" w:eastAsia="仿宋_GB2312" w:hAnsi="黑体" w:cs="黑体" w:hint="eastAsia"/>
          <w:sz w:val="32"/>
          <w:szCs w:val="32"/>
        </w:rPr>
        <w:t>（3）申报单位2020年12月至申报截止日当月在国家统计局统计联网直报平台内的企业类别为批发和零售业。</w:t>
      </w:r>
    </w:p>
    <w:p w:rsidR="00301E2B" w:rsidRDefault="00301E2B" w:rsidP="00301E2B">
      <w:pPr>
        <w:ind w:firstLineChars="200" w:firstLine="640"/>
        <w:rPr>
          <w:rFonts w:ascii="仿宋_GB2312" w:eastAsia="仿宋_GB2312" w:hAnsi="仿宋_GB2312" w:cs="仿宋_GB2312"/>
          <w:color w:val="000000"/>
          <w:sz w:val="32"/>
          <w:szCs w:val="32"/>
        </w:rPr>
      </w:pPr>
      <w:r>
        <w:rPr>
          <w:rFonts w:ascii="仿宋_GB2312" w:eastAsia="仿宋_GB2312"/>
          <w:sz w:val="32"/>
          <w:szCs w:val="32"/>
        </w:rPr>
        <w:t>特别说明：以上</w:t>
      </w:r>
      <w:r>
        <w:rPr>
          <w:rFonts w:ascii="仿宋_GB2312" w:eastAsia="仿宋_GB2312" w:hint="eastAsia"/>
          <w:sz w:val="32"/>
          <w:szCs w:val="32"/>
        </w:rPr>
        <w:t>项目</w:t>
      </w:r>
      <w:r>
        <w:rPr>
          <w:rFonts w:ascii="仿宋_GB2312" w:eastAsia="仿宋_GB2312"/>
          <w:sz w:val="32"/>
          <w:szCs w:val="32"/>
        </w:rPr>
        <w:t>条件中所指</w:t>
      </w:r>
      <w:r>
        <w:rPr>
          <w:rFonts w:ascii="仿宋_GB2312" w:eastAsia="仿宋_GB2312" w:hint="eastAsia"/>
          <w:sz w:val="32"/>
          <w:szCs w:val="32"/>
        </w:rPr>
        <w:t>网络</w:t>
      </w:r>
      <w:r>
        <w:rPr>
          <w:rFonts w:ascii="仿宋_GB2312" w:eastAsia="仿宋_GB2312"/>
          <w:sz w:val="32"/>
          <w:szCs w:val="32"/>
        </w:rPr>
        <w:t>零售额均以统计部门数据</w:t>
      </w:r>
      <w:r>
        <w:rPr>
          <w:rFonts w:ascii="仿宋_GB2312" w:eastAsia="仿宋_GB2312" w:hint="eastAsia"/>
          <w:sz w:val="32"/>
          <w:szCs w:val="32"/>
        </w:rPr>
        <w:t>为准。</w:t>
      </w:r>
    </w:p>
    <w:p w:rsidR="00301E2B" w:rsidRDefault="00301E2B" w:rsidP="00301E2B">
      <w:pPr>
        <w:spacing w:line="560" w:lineRule="exact"/>
        <w:ind w:firstLineChars="200" w:firstLine="640"/>
        <w:rPr>
          <w:rFonts w:ascii="楷体_GB2312" w:eastAsia="楷体_GB2312"/>
          <w:sz w:val="32"/>
          <w:szCs w:val="32"/>
        </w:rPr>
      </w:pPr>
      <w:r>
        <w:rPr>
          <w:rFonts w:ascii="楷体_GB2312" w:eastAsia="楷体_GB2312" w:hint="eastAsia"/>
          <w:sz w:val="32"/>
          <w:szCs w:val="32"/>
        </w:rPr>
        <w:t>3.电商扶贫奖励项目</w:t>
      </w:r>
    </w:p>
    <w:p w:rsidR="00301E2B" w:rsidRDefault="00301E2B" w:rsidP="00301E2B">
      <w:pPr>
        <w:pStyle w:val="a6"/>
        <w:spacing w:line="579"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2020年度采购深圳对口帮扶地区农、特产品达到一定规模的电子商务平台企业。电子商务平台企业：</w:t>
      </w:r>
      <w:r>
        <w:rPr>
          <w:rFonts w:ascii="仿宋_GB2312" w:eastAsia="仿宋_GB2312" w:cs="Times New Roman" w:hint="eastAsia"/>
          <w:color w:val="000000"/>
          <w:sz w:val="32"/>
          <w:szCs w:val="32"/>
        </w:rPr>
        <w:t>电子商务平台服务收入（指第三方平台）或销售收入（指自营平台）占企业总营业收入50%以上的企业。</w:t>
      </w:r>
    </w:p>
    <w:bookmarkEnd w:id="1"/>
    <w:p w:rsidR="00301E2B" w:rsidRDefault="00301E2B" w:rsidP="00301E2B">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301E2B" w:rsidRDefault="00301E2B" w:rsidP="00301E2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（一）国家级数字商务企业奖励项目</w:t>
      </w:r>
    </w:p>
    <w:p w:rsidR="00301E2B" w:rsidRDefault="00301E2B" w:rsidP="00301E2B">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支持内容：</w:t>
      </w:r>
      <w:r>
        <w:rPr>
          <w:rFonts w:ascii="仿宋_GB2312" w:eastAsia="仿宋_GB2312" w:hint="eastAsia"/>
          <w:sz w:val="32"/>
          <w:szCs w:val="32"/>
        </w:rPr>
        <w:t>加快推动商务领域企业数字化转型，积极培育和推广国家级数字商务企业发展模式，鼓励数字商务企业发展壮大，发挥示范带头作用</w:t>
      </w:r>
      <w:r>
        <w:rPr>
          <w:rFonts w:ascii="仿宋_GB2312" w:eastAsia="仿宋_GB2312" w:hint="eastAsia"/>
          <w:color w:val="000000"/>
          <w:sz w:val="32"/>
          <w:szCs w:val="32"/>
        </w:rPr>
        <w:t>。</w:t>
      </w:r>
    </w:p>
    <w:p w:rsidR="00301E2B" w:rsidRDefault="00301E2B" w:rsidP="00301E2B">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支持标准</w:t>
      </w:r>
      <w:r>
        <w:rPr>
          <w:rFonts w:ascii="仿宋_GB2312" w:eastAsia="仿宋_GB2312" w:hint="eastAsia"/>
          <w:sz w:val="32"/>
          <w:szCs w:val="32"/>
        </w:rPr>
        <w:t>：</w:t>
      </w:r>
      <w:r>
        <w:rPr>
          <w:rFonts w:ascii="仿宋_GB2312" w:eastAsia="仿宋_GB2312" w:hAnsi="仿宋_GB2312" w:cs="仿宋_GB2312" w:hint="eastAsia"/>
          <w:color w:val="000000"/>
          <w:sz w:val="32"/>
          <w:szCs w:val="32"/>
        </w:rPr>
        <w:t>对获批的国家级数字商务企业，一次性奖励300万元</w:t>
      </w:r>
      <w:r>
        <w:rPr>
          <w:rFonts w:ascii="仿宋_GB2312" w:eastAsia="仿宋_GB2312" w:hint="eastAsia"/>
          <w:sz w:val="32"/>
          <w:szCs w:val="32"/>
        </w:rPr>
        <w:t>。</w:t>
      </w:r>
    </w:p>
    <w:p w:rsidR="00301E2B" w:rsidRDefault="00301E2B" w:rsidP="00301E2B">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（二）网络零售额纳统贡献奖励项目</w:t>
      </w:r>
    </w:p>
    <w:p w:rsidR="00301E2B" w:rsidRDefault="00301E2B" w:rsidP="00301E2B">
      <w:pPr>
        <w:spacing w:line="560" w:lineRule="exact"/>
        <w:ind w:firstLineChars="200" w:firstLine="643"/>
        <w:rPr>
          <w:rFonts w:ascii="仿宋_GB2312" w:eastAsia="仿宋_GB2312"/>
          <w:sz w:val="32"/>
          <w:szCs w:val="32"/>
        </w:rPr>
      </w:pPr>
      <w:r>
        <w:rPr>
          <w:rFonts w:ascii="仿宋_GB2312" w:eastAsia="仿宋_GB2312" w:hAnsi="楷体_GB2312" w:cs="楷体_GB2312" w:hint="eastAsia"/>
          <w:b/>
          <w:bCs/>
          <w:sz w:val="32"/>
          <w:szCs w:val="32"/>
        </w:rPr>
        <w:t>支持内容：</w:t>
      </w:r>
      <w:r>
        <w:rPr>
          <w:rFonts w:ascii="仿宋_GB2312" w:eastAsia="仿宋_GB2312" w:hAnsi="仿宋_GB2312" w:cs="仿宋_GB2312" w:hint="eastAsia"/>
          <w:color w:val="000000"/>
          <w:sz w:val="32"/>
          <w:szCs w:val="32"/>
        </w:rPr>
        <w:t>鼓励企业通过自营平台或第三方平台开展网络零售，扩大品牌效应和产品价值</w:t>
      </w:r>
      <w:r>
        <w:rPr>
          <w:rFonts w:ascii="仿宋_GB2312" w:eastAsia="仿宋_GB2312" w:hint="eastAsia"/>
          <w:sz w:val="32"/>
          <w:szCs w:val="32"/>
        </w:rPr>
        <w:t>。</w:t>
      </w:r>
    </w:p>
    <w:p w:rsidR="00301E2B" w:rsidRDefault="00301E2B" w:rsidP="00301E2B">
      <w:pPr>
        <w:pStyle w:val="a6"/>
        <w:widowControl/>
        <w:spacing w:line="560" w:lineRule="exact"/>
        <w:ind w:firstLineChars="200" w:firstLine="643"/>
        <w:jc w:val="both"/>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lastRenderedPageBreak/>
        <w:t>支持标准：</w:t>
      </w:r>
    </w:p>
    <w:p w:rsidR="00301E2B" w:rsidRDefault="00301E2B" w:rsidP="00301E2B">
      <w:pPr>
        <w:pStyle w:val="a6"/>
        <w:widowControl/>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1.对网络零售额2020年度首次纳统并超过5000万元的企业，一次性奖励50万元。</w:t>
      </w:r>
    </w:p>
    <w:p w:rsidR="00301E2B" w:rsidRDefault="00301E2B" w:rsidP="00301E2B">
      <w:pPr>
        <w:pStyle w:val="a6"/>
        <w:widowControl/>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2.对企业2020年度网络零售额超过10亿元的部分，每增加5000万元给予该企业50万元的资金奖励，单个企业奖励上限300万元。</w:t>
      </w:r>
    </w:p>
    <w:p w:rsidR="00301E2B" w:rsidRDefault="00301E2B" w:rsidP="00301E2B">
      <w:pPr>
        <w:pStyle w:val="a6"/>
        <w:widowControl/>
        <w:spacing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已获得促进消费提升扶持计划相关资助的，不重复享受。</w:t>
      </w:r>
    </w:p>
    <w:p w:rsidR="00301E2B" w:rsidRDefault="00301E2B" w:rsidP="00301E2B">
      <w:pPr>
        <w:spacing w:line="560" w:lineRule="exact"/>
        <w:ind w:firstLineChars="200" w:firstLine="640"/>
        <w:rPr>
          <w:rFonts w:ascii="楷体_GB2312" w:eastAsia="楷体_GB2312"/>
          <w:sz w:val="32"/>
          <w:szCs w:val="32"/>
        </w:rPr>
      </w:pPr>
      <w:r>
        <w:rPr>
          <w:rFonts w:ascii="楷体_GB2312" w:eastAsia="楷体_GB2312" w:hint="eastAsia"/>
          <w:sz w:val="32"/>
          <w:szCs w:val="32"/>
        </w:rPr>
        <w:t>（三）电商扶贫奖励项目</w:t>
      </w:r>
    </w:p>
    <w:p w:rsidR="00301E2B" w:rsidRDefault="00301E2B" w:rsidP="00301E2B">
      <w:pPr>
        <w:spacing w:line="560" w:lineRule="exact"/>
        <w:ind w:firstLineChars="200" w:firstLine="643"/>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bCs/>
          <w:sz w:val="32"/>
          <w:szCs w:val="32"/>
        </w:rPr>
        <w:t>鼓励</w:t>
      </w:r>
      <w:r>
        <w:rPr>
          <w:rFonts w:ascii="仿宋_GB2312" w:eastAsia="仿宋_GB2312" w:hint="eastAsia"/>
          <w:sz w:val="32"/>
          <w:szCs w:val="32"/>
        </w:rPr>
        <w:t>电子商务平台企业</w:t>
      </w:r>
      <w:r>
        <w:rPr>
          <w:rFonts w:ascii="仿宋_GB2312" w:eastAsia="仿宋_GB2312" w:hAnsi="楷体_GB2312" w:cs="楷体_GB2312" w:hint="eastAsia"/>
          <w:bCs/>
          <w:sz w:val="32"/>
          <w:szCs w:val="32"/>
        </w:rPr>
        <w:t>消费扶贫，拓宽</w:t>
      </w:r>
      <w:r>
        <w:rPr>
          <w:rFonts w:ascii="仿宋_GB2312" w:eastAsia="仿宋_GB2312" w:hint="eastAsia"/>
          <w:sz w:val="32"/>
          <w:szCs w:val="32"/>
        </w:rPr>
        <w:t>农产品流通和销售渠道，采购深圳对口帮扶地区农、特产品。</w:t>
      </w:r>
    </w:p>
    <w:p w:rsidR="00301E2B" w:rsidRDefault="00301E2B" w:rsidP="00301E2B">
      <w:pPr>
        <w:pStyle w:val="a6"/>
        <w:widowControl/>
        <w:spacing w:line="560" w:lineRule="exact"/>
        <w:ind w:firstLineChars="200" w:firstLine="643"/>
        <w:jc w:val="both"/>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2020年度</w:t>
      </w:r>
      <w:r>
        <w:rPr>
          <w:rFonts w:ascii="仿宋_GB2312" w:eastAsia="仿宋_GB2312" w:hAnsi="仿宋_GB2312" w:cs="仿宋_GB2312" w:hint="eastAsia"/>
          <w:color w:val="000000"/>
          <w:sz w:val="32"/>
          <w:szCs w:val="32"/>
        </w:rPr>
        <w:t>采购额超过1000万元的企业，一次性奖励50万元；2020年度采购金额每增加500万元的，增加奖励10万元，单个企业最高不超过100万元。</w:t>
      </w:r>
    </w:p>
    <w:p w:rsidR="00301E2B" w:rsidRDefault="00301E2B" w:rsidP="00301E2B">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301E2B" w:rsidRDefault="00301E2B" w:rsidP="00301E2B">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rsidR="00301E2B" w:rsidRDefault="00301E2B" w:rsidP="00301E2B">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2.企业信用报告（企业自行登陆“广东信用网”打印）。</w:t>
      </w:r>
    </w:p>
    <w:p w:rsidR="00301E2B" w:rsidRDefault="00301E2B" w:rsidP="00301E2B">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rsidR="00301E2B" w:rsidRDefault="00301E2B" w:rsidP="00301E2B">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1.国家级数字商务企业奖励项目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国家级数字商务企业发布文件：</w:t>
      </w:r>
      <w:r>
        <w:rPr>
          <w:rFonts w:ascii="仿宋_GB2312" w:eastAsia="仿宋_GB2312" w:hint="eastAsia"/>
          <w:sz w:val="32"/>
          <w:szCs w:val="32"/>
        </w:rPr>
        <w:t>《商务部办公厅关于确认首批线上线下融合发展数字商务企业的通知》（商办电函</w:t>
      </w:r>
      <w:r>
        <w:rPr>
          <w:rFonts w:ascii="仿宋_GB2312" w:eastAsia="仿宋_GB2312" w:hAnsi="仿宋_GB2312" w:cs="仿宋_GB2312" w:hint="eastAsia"/>
          <w:sz w:val="32"/>
          <w:szCs w:val="32"/>
        </w:rPr>
        <w:lastRenderedPageBreak/>
        <w:t>〔2019〕406号</w:t>
      </w:r>
      <w:r>
        <w:rPr>
          <w:rFonts w:ascii="仿宋_GB2312" w:eastAsia="仿宋_GB2312" w:hint="eastAsia"/>
          <w:sz w:val="32"/>
          <w:szCs w:val="32"/>
        </w:rPr>
        <w:t>）或《商务部办公厅关于确认第二批数字商务企业的通知》（商办电函</w:t>
      </w:r>
      <w:r>
        <w:rPr>
          <w:rFonts w:ascii="仿宋_GB2312" w:eastAsia="仿宋_GB2312" w:hAnsi="仿宋_GB2312" w:cs="仿宋_GB2312" w:hint="eastAsia"/>
          <w:sz w:val="32"/>
          <w:szCs w:val="32"/>
        </w:rPr>
        <w:t>〔2020〕391号</w:t>
      </w:r>
      <w:r>
        <w:rPr>
          <w:rFonts w:ascii="仿宋_GB2312" w:eastAsia="仿宋_GB2312" w:hint="eastAsia"/>
          <w:sz w:val="32"/>
          <w:szCs w:val="32"/>
        </w:rPr>
        <w:t>）</w:t>
      </w:r>
      <w:r>
        <w:rPr>
          <w:rFonts w:ascii="仿宋_GB2312" w:eastAsia="仿宋_GB2312" w:hAnsi="仿宋_GB2312" w:cs="仿宋_GB2312" w:hint="eastAsia"/>
          <w:sz w:val="32"/>
          <w:szCs w:val="32"/>
        </w:rPr>
        <w:t>。</w:t>
      </w:r>
    </w:p>
    <w:p w:rsidR="00301E2B" w:rsidRDefault="00301E2B" w:rsidP="00301E2B">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2.网络零售额纳统贡献奖励项目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上年度统计报表（E204-1表）。</w:t>
      </w:r>
    </w:p>
    <w:p w:rsidR="00301E2B" w:rsidRDefault="00301E2B" w:rsidP="00301E2B">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3.电商扶贫奖励项目</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color w:val="000000"/>
          <w:sz w:val="32"/>
          <w:szCs w:val="32"/>
        </w:rPr>
        <w:t>线上平台资质凭证（有效ICP或EDI等凭证）；</w:t>
      </w:r>
    </w:p>
    <w:p w:rsidR="00301E2B" w:rsidRDefault="00301E2B" w:rsidP="00301E2B">
      <w:pPr>
        <w:spacing w:line="560" w:lineRule="exact"/>
        <w:ind w:firstLineChars="200" w:firstLine="640"/>
      </w:pPr>
      <w:r>
        <w:rPr>
          <w:rFonts w:ascii="仿宋_GB2312" w:eastAsia="仿宋_GB2312" w:hAnsi="Times New Roman" w:cs="Times New Roman" w:hint="eastAsia"/>
          <w:color w:val="000000"/>
          <w:sz w:val="32"/>
          <w:szCs w:val="32"/>
        </w:rPr>
        <w:t>（2）若为第三方平台，提供电子商务平台服务收入占企业总营业收入50%以上的说明及证明材料；若为自营平台，提供销售收入占企业总营业收入50%以上的说明及证明材料；</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（3）上年度采购合同及付款凭证。</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301E2B" w:rsidRDefault="00301E2B" w:rsidP="00301E2B">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301E2B" w:rsidRDefault="00301E2B" w:rsidP="00301E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rsidR="00301E2B" w:rsidRDefault="00301E2B" w:rsidP="00301E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rsidR="00301E2B" w:rsidRDefault="00301E2B" w:rsidP="00301E2B">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2021年8月18日—2021年8月23日18:00。</w:t>
      </w:r>
    </w:p>
    <w:p w:rsidR="00301E2B" w:rsidRDefault="00301E2B" w:rsidP="00301E2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2.材料提交时间:2021年8月18日—2021年8月24日17:45。</w:t>
      </w:r>
    </w:p>
    <w:p w:rsidR="00301E2B" w:rsidRDefault="00301E2B" w:rsidP="00301E2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申报单位在上述规定时间内在线填报、提交材料，逾期不予受理。</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（四）咨询电话：0755-88916850、88916896；系统技术服务电话：0755-25331216（工作日上午9:00-12:00，下午2:00-6:00）。</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发布申请指南——申报单位网上申报——初审——申报单位向市行政服务大厅收文窗口提交申请材料——形式审查——资质审查——专项审计（国家级数字商务企业奖励项目除外）——征求相关单位意见（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）——核定拟资助计划——社会公示——下达资助计划——申请人提交拨付资料——拨付资金。</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301E2B" w:rsidRDefault="00301E2B" w:rsidP="00301E2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301E2B" w:rsidRDefault="00301E2B" w:rsidP="00301E2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无</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301E2B" w:rsidRDefault="00301E2B" w:rsidP="00301E2B">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301E2B" w:rsidRDefault="00301E2B" w:rsidP="00301E2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sidR="00301E2B" w:rsidRDefault="00301E2B" w:rsidP="00301E2B">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rsidR="00301E2B" w:rsidRDefault="00301E2B" w:rsidP="00301E2B">
      <w:pPr>
        <w:spacing w:line="560" w:lineRule="exact"/>
        <w:rPr>
          <w:rFonts w:ascii="仿宋_GB2312" w:eastAsia="仿宋_GB2312" w:hAnsi="仿宋_GB2312" w:cs="仿宋_GB2312"/>
          <w:sz w:val="32"/>
          <w:szCs w:val="32"/>
        </w:rPr>
      </w:pPr>
    </w:p>
    <w:p w:rsidR="00301E2B" w:rsidRDefault="00301E2B" w:rsidP="00301E2B">
      <w:pPr>
        <w:spacing w:line="560" w:lineRule="exact"/>
        <w:rPr>
          <w:rFonts w:ascii="仿宋_GB2312" w:eastAsia="仿宋_GB2312" w:hAnsi="仿宋_GB2312" w:cs="仿宋_GB2312"/>
          <w:sz w:val="32"/>
          <w:szCs w:val="32"/>
        </w:rPr>
      </w:pPr>
    </w:p>
    <w:p w:rsidR="00301E2B" w:rsidRDefault="00301E2B" w:rsidP="00301E2B">
      <w:pPr>
        <w:spacing w:line="560" w:lineRule="exact"/>
        <w:ind w:firstLineChars="200" w:firstLine="640"/>
        <w:rPr>
          <w:rFonts w:ascii="仿宋_GB2312" w:eastAsia="仿宋_GB2312" w:hAnsi="仿宋_GB2312" w:cs="仿宋_GB2312"/>
          <w:sz w:val="32"/>
          <w:szCs w:val="32"/>
        </w:rPr>
      </w:pPr>
    </w:p>
    <w:p w:rsidR="00301E2B" w:rsidRDefault="00301E2B" w:rsidP="00301E2B">
      <w:pPr>
        <w:spacing w:line="560" w:lineRule="exact"/>
        <w:ind w:firstLineChars="200" w:firstLine="640"/>
        <w:rPr>
          <w:rFonts w:ascii="仿宋_GB2312" w:eastAsia="仿宋_GB2312" w:hAnsi="仿宋_GB2312" w:cs="仿宋_GB2312"/>
          <w:sz w:val="32"/>
          <w:szCs w:val="32"/>
        </w:rPr>
      </w:pPr>
    </w:p>
    <w:p w:rsidR="00301E2B" w:rsidRDefault="00301E2B" w:rsidP="00301E2B">
      <w:pPr>
        <w:spacing w:line="500" w:lineRule="exact"/>
        <w:rPr>
          <w:rFonts w:ascii="仿宋_GB2312" w:eastAsia="仿宋_GB2312"/>
          <w:sz w:val="32"/>
          <w:szCs w:val="32"/>
        </w:rPr>
      </w:pPr>
    </w:p>
    <w:p w:rsidR="00301E2B" w:rsidRDefault="00301E2B" w:rsidP="00301E2B"/>
    <w:p w:rsidR="00301E2B" w:rsidRDefault="00301E2B" w:rsidP="00301E2B">
      <w:pPr>
        <w:rPr>
          <w:sz w:val="32"/>
        </w:rPr>
      </w:pPr>
    </w:p>
    <w:p w:rsidR="00E844B6" w:rsidRDefault="004B248B"/>
    <w:sectPr w:rsidR="00E844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8B" w:rsidRDefault="004B248B" w:rsidP="00301E2B">
      <w:r>
        <w:separator/>
      </w:r>
    </w:p>
  </w:endnote>
  <w:endnote w:type="continuationSeparator" w:id="0">
    <w:p w:rsidR="004B248B" w:rsidRDefault="004B248B" w:rsidP="003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DD" w:rsidRDefault="004B248B">
    <w:pPr>
      <w:pStyle w:val="a5"/>
    </w:pPr>
    <w:r>
      <w:rPr>
        <w:noProof/>
      </w:rPr>
      <mc:AlternateContent>
        <mc:Choice Requires="wps">
          <w:drawing>
            <wp:anchor distT="0" distB="0" distL="114300" distR="114300" simplePos="0" relativeHeight="251659264" behindDoc="0" locked="0" layoutInCell="1" allowOverlap="1" wp14:anchorId="0464D9E5" wp14:editId="2C07DE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50DD" w:rsidRDefault="004B248B">
                          <w:pPr>
                            <w:pStyle w:val="a5"/>
                          </w:pPr>
                          <w:r>
                            <w:rPr>
                              <w:rFonts w:hint="eastAsia"/>
                            </w:rPr>
                            <w:fldChar w:fldCharType="begin"/>
                          </w:r>
                          <w:r>
                            <w:rPr>
                              <w:rFonts w:hint="eastAsia"/>
                            </w:rPr>
                            <w:instrText xml:space="preserve"> PAGE  \* MERGEFORMAT </w:instrText>
                          </w:r>
                          <w:r>
                            <w:rPr>
                              <w:rFonts w:hint="eastAsia"/>
                            </w:rPr>
                            <w:fldChar w:fldCharType="separate"/>
                          </w:r>
                          <w:r w:rsidR="00301E2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64D9E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350DD" w:rsidRDefault="004B248B">
                    <w:pPr>
                      <w:pStyle w:val="a5"/>
                    </w:pPr>
                    <w:r>
                      <w:rPr>
                        <w:rFonts w:hint="eastAsia"/>
                      </w:rPr>
                      <w:fldChar w:fldCharType="begin"/>
                    </w:r>
                    <w:r>
                      <w:rPr>
                        <w:rFonts w:hint="eastAsia"/>
                      </w:rPr>
                      <w:instrText xml:space="preserve"> PAGE  \* MERGEFORMAT </w:instrText>
                    </w:r>
                    <w:r>
                      <w:rPr>
                        <w:rFonts w:hint="eastAsia"/>
                      </w:rPr>
                      <w:fldChar w:fldCharType="separate"/>
                    </w:r>
                    <w:r w:rsidR="00301E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8B" w:rsidRDefault="004B248B" w:rsidP="00301E2B">
      <w:r>
        <w:separator/>
      </w:r>
    </w:p>
  </w:footnote>
  <w:footnote w:type="continuationSeparator" w:id="0">
    <w:p w:rsidR="004B248B" w:rsidRDefault="004B248B" w:rsidP="00301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87"/>
    <w:rsid w:val="00301E2B"/>
    <w:rsid w:val="004B248B"/>
    <w:rsid w:val="007B5D01"/>
    <w:rsid w:val="00B201E9"/>
    <w:rsid w:val="00FE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5622AC-4E3D-4CD4-8909-CB7E7A6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01E2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01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01E2B"/>
    <w:rPr>
      <w:sz w:val="18"/>
      <w:szCs w:val="18"/>
    </w:rPr>
  </w:style>
  <w:style w:type="paragraph" w:styleId="a5">
    <w:name w:val="footer"/>
    <w:basedOn w:val="a"/>
    <w:link w:val="Char0"/>
    <w:unhideWhenUsed/>
    <w:qFormat/>
    <w:rsid w:val="00301E2B"/>
    <w:pPr>
      <w:tabs>
        <w:tab w:val="center" w:pos="4153"/>
        <w:tab w:val="right" w:pos="8306"/>
      </w:tabs>
      <w:snapToGrid w:val="0"/>
      <w:jc w:val="left"/>
    </w:pPr>
    <w:rPr>
      <w:sz w:val="18"/>
      <w:szCs w:val="18"/>
    </w:rPr>
  </w:style>
  <w:style w:type="character" w:customStyle="1" w:styleId="Char0">
    <w:name w:val="页脚 Char"/>
    <w:basedOn w:val="a1"/>
    <w:link w:val="a5"/>
    <w:uiPriority w:val="99"/>
    <w:rsid w:val="00301E2B"/>
    <w:rPr>
      <w:sz w:val="18"/>
      <w:szCs w:val="18"/>
    </w:rPr>
  </w:style>
  <w:style w:type="paragraph" w:styleId="a6">
    <w:name w:val="Normal (Web)"/>
    <w:basedOn w:val="a"/>
    <w:qFormat/>
    <w:rsid w:val="00301E2B"/>
    <w:pPr>
      <w:jc w:val="left"/>
    </w:pPr>
    <w:rPr>
      <w:rFonts w:ascii="Times New Roman" w:hAnsi="Times New Roman"/>
      <w:kern w:val="0"/>
      <w:sz w:val="24"/>
    </w:rPr>
  </w:style>
  <w:style w:type="paragraph" w:customStyle="1" w:styleId="a7">
    <w:name w:val="文件正文"/>
    <w:basedOn w:val="a5"/>
    <w:qFormat/>
    <w:rsid w:val="00301E2B"/>
    <w:pPr>
      <w:snapToGrid/>
      <w:spacing w:line="560" w:lineRule="exact"/>
      <w:ind w:firstLineChars="200" w:firstLine="622"/>
      <w:jc w:val="both"/>
    </w:pPr>
    <w:rPr>
      <w:rFonts w:ascii="仿宋_GB2312" w:eastAsia="仿宋_GB2312" w:hAnsi="仿宋_GB2312" w:cs="Times New Roman"/>
      <w:sz w:val="32"/>
      <w:szCs w:val="32"/>
    </w:rPr>
  </w:style>
  <w:style w:type="paragraph" w:styleId="a8">
    <w:name w:val="Body Text"/>
    <w:basedOn w:val="a"/>
    <w:link w:val="Char1"/>
    <w:uiPriority w:val="99"/>
    <w:semiHidden/>
    <w:unhideWhenUsed/>
    <w:rsid w:val="00301E2B"/>
    <w:pPr>
      <w:spacing w:after="120"/>
    </w:pPr>
  </w:style>
  <w:style w:type="character" w:customStyle="1" w:styleId="Char1">
    <w:name w:val="正文文本 Char"/>
    <w:basedOn w:val="a1"/>
    <w:link w:val="a8"/>
    <w:uiPriority w:val="99"/>
    <w:semiHidden/>
    <w:rsid w:val="00301E2B"/>
  </w:style>
  <w:style w:type="paragraph" w:styleId="a0">
    <w:name w:val="Body Text First Indent"/>
    <w:basedOn w:val="a8"/>
    <w:link w:val="Char2"/>
    <w:uiPriority w:val="99"/>
    <w:semiHidden/>
    <w:unhideWhenUsed/>
    <w:rsid w:val="00301E2B"/>
    <w:pPr>
      <w:ind w:firstLineChars="100" w:firstLine="420"/>
    </w:pPr>
  </w:style>
  <w:style w:type="character" w:customStyle="1" w:styleId="Char2">
    <w:name w:val="正文首行缩进 Char"/>
    <w:basedOn w:val="Char1"/>
    <w:link w:val="a0"/>
    <w:uiPriority w:val="99"/>
    <w:semiHidden/>
    <w:rsid w:val="0030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2021-08-09T08:19:00Z</dcterms:created>
  <dcterms:modified xsi:type="dcterms:W3CDTF">2021-08-09T08:19:00Z</dcterms:modified>
</cp:coreProperties>
</file>