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黑体"/>
          <w:bCs/>
          <w:sz w:val="32"/>
          <w:szCs w:val="32"/>
        </w:rPr>
      </w:pPr>
      <w:r>
        <w:rPr>
          <w:rFonts w:hint="eastAsia" w:ascii="黑体" w:hAnsi="黑体" w:eastAsia="黑体" w:cs="黑体"/>
          <w:bCs/>
          <w:sz w:val="32"/>
          <w:szCs w:val="32"/>
        </w:rPr>
        <w:t>附件1</w:t>
      </w:r>
    </w:p>
    <w:p>
      <w:pPr>
        <w:pStyle w:val="2"/>
        <w:ind w:firstLine="210"/>
      </w:pPr>
    </w:p>
    <w:p>
      <w:pPr>
        <w:spacing w:line="5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深圳市跨国公司总部企业认定申报指引（2021）</w:t>
      </w:r>
    </w:p>
    <w:p>
      <w:pPr>
        <w:widowControl/>
        <w:shd w:val="clear" w:color="auto" w:fill="FFFFFF"/>
        <w:spacing w:line="360" w:lineRule="auto"/>
        <w:jc w:val="center"/>
        <w:rPr>
          <w:rFonts w:ascii="宋体" w:hAnsi="宋体" w:eastAsia="宋体" w:cs="宋体"/>
          <w:b/>
          <w:color w:val="000000" w:themeColor="text1"/>
          <w:kern w:val="0"/>
          <w:sz w:val="44"/>
          <w:szCs w:val="44"/>
        </w:rPr>
      </w:pPr>
    </w:p>
    <w:p>
      <w:pPr>
        <w:suppressAutoHyphens/>
        <w:spacing w:line="360" w:lineRule="auto"/>
        <w:ind w:firstLine="640" w:firstLineChars="200"/>
        <w:contextualSpacing/>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一、制定依据</w:t>
      </w:r>
    </w:p>
    <w:p>
      <w:pPr>
        <w:suppressAutoHyphens/>
        <w:spacing w:line="360" w:lineRule="auto"/>
        <w:ind w:firstLine="640" w:firstLineChars="200"/>
        <w:contextualSpacing/>
        <w:rPr>
          <w:rFonts w:ascii="仿宋_GB2312" w:eastAsia="仿宋_GB2312"/>
          <w:bCs/>
          <w:sz w:val="32"/>
          <w:szCs w:val="32"/>
        </w:rPr>
      </w:pPr>
      <w:r>
        <w:rPr>
          <w:rFonts w:hint="eastAsia" w:ascii="仿宋_GB2312" w:eastAsia="仿宋_GB2312"/>
          <w:bCs/>
          <w:sz w:val="32"/>
          <w:szCs w:val="32"/>
        </w:rPr>
        <w:t>（一）《国务院关于进一步做好利用外资工作的意见》（国发〔2019〕23号）。</w:t>
      </w:r>
    </w:p>
    <w:p>
      <w:pPr>
        <w:suppressAutoHyphens/>
        <w:spacing w:line="360" w:lineRule="auto"/>
        <w:ind w:firstLine="640" w:firstLineChars="200"/>
        <w:contextualSpacing/>
        <w:rPr>
          <w:rFonts w:ascii="仿宋_GB2312" w:eastAsia="仿宋_GB2312"/>
          <w:bCs/>
          <w:sz w:val="32"/>
          <w:szCs w:val="32"/>
        </w:rPr>
      </w:pPr>
      <w:r>
        <w:rPr>
          <w:rFonts w:hint="eastAsia" w:ascii="仿宋_GB2312" w:eastAsia="仿宋_GB2312"/>
          <w:bCs/>
          <w:sz w:val="32"/>
          <w:szCs w:val="32"/>
        </w:rPr>
        <w:t>（二）《深圳市关于进一步扩大利用外资规模提升利用外资质量的若干措施（修订版）》（深府函〔2019〕63号）。</w:t>
      </w:r>
    </w:p>
    <w:p>
      <w:pPr>
        <w:suppressAutoHyphens/>
        <w:spacing w:line="360" w:lineRule="auto"/>
        <w:ind w:firstLine="640" w:firstLineChars="200"/>
        <w:contextualSpacing/>
      </w:pPr>
      <w:r>
        <w:rPr>
          <w:rFonts w:hint="eastAsia" w:ascii="仿宋_GB2312" w:hAnsi="仿宋_GB2312" w:eastAsia="仿宋_GB2312" w:cs="仿宋_GB2312"/>
          <w:sz w:val="32"/>
          <w:szCs w:val="32"/>
        </w:rPr>
        <w:t>（三）《深圳市鼓励跨国公司设立总部企业办法》（深府办规</w:t>
      </w:r>
      <w:r>
        <w:rPr>
          <w:rFonts w:hint="eastAsia" w:ascii="仿宋_GB2312" w:eastAsia="仿宋_GB2312"/>
          <w:bCs/>
          <w:sz w:val="32"/>
          <w:szCs w:val="32"/>
        </w:rPr>
        <w:t>〔2021〕</w:t>
      </w:r>
      <w:r>
        <w:rPr>
          <w:rFonts w:hint="eastAsia" w:ascii="仿宋_GB2312" w:hAnsi="仿宋_GB2312" w:eastAsia="仿宋_GB2312" w:cs="仿宋_GB2312"/>
          <w:sz w:val="32"/>
          <w:szCs w:val="32"/>
        </w:rPr>
        <w:t>2号）。</w:t>
      </w:r>
    </w:p>
    <w:p>
      <w:pPr>
        <w:numPr>
          <w:ilvl w:val="255"/>
          <w:numId w:val="0"/>
        </w:numPr>
        <w:suppressAutoHyphens/>
        <w:spacing w:line="360" w:lineRule="auto"/>
        <w:ind w:firstLine="640" w:firstLineChars="200"/>
        <w:contextualSpacing/>
        <w:rPr>
          <w:rFonts w:ascii="黑体" w:hAnsi="黑体" w:eastAsia="黑体" w:cs="黑体"/>
          <w:sz w:val="32"/>
          <w:szCs w:val="32"/>
        </w:rPr>
      </w:pPr>
      <w:r>
        <w:rPr>
          <w:rFonts w:hint="eastAsia" w:ascii="黑体" w:hAnsi="黑体" w:eastAsia="黑体" w:cs="黑体"/>
          <w:sz w:val="32"/>
          <w:szCs w:val="32"/>
        </w:rPr>
        <w:t>二、适用对象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《深圳市跨国公司总部企业认定申报指引（2021）》中跨国公司总部企业，是指跨国公司设立的地区总部和具有总部功能的机构。</w:t>
      </w:r>
    </w:p>
    <w:p>
      <w:pPr>
        <w:numPr>
          <w:ilvl w:val="255"/>
          <w:numId w:val="0"/>
        </w:numPr>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（一）总部定义</w:t>
      </w:r>
    </w:p>
    <w:p>
      <w:pPr>
        <w:numPr>
          <w:ilvl w:val="255"/>
          <w:numId w:val="0"/>
        </w:numPr>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跨国公司地区总部是指在境外注册的母公司在本市设立，以投资或授权形式对在一个国家（或地区）以上区域内的企业履行管理和服务职能的唯一总机构。跨国公司须以外商投资投资性公司、管理性公司等具有独立法人资格的企业组织形式在本市设立地区总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跨国公司具有总部功能的机构是指未达到跨国公司地区总部标准，实际承担境外母公司在一个国家（或地区）以上区域内的拓展研发、销售、贸易、结算、数据等功能的外商投资企业（含分支机构）。</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（二）地区总部和具有总部功能的机构不含房地产、金融及类金融等行业领域，上述行业总部认定另行按照相关行业政策执行。</w:t>
      </w:r>
    </w:p>
    <w:p>
      <w:pPr>
        <w:pStyle w:val="2"/>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（三）香港、澳门、台湾地区符合条件的跨国公司在本市设立总部企业，按照本申报指引执行。</w:t>
      </w:r>
    </w:p>
    <w:p>
      <w:pPr>
        <w:numPr>
          <w:ilvl w:val="255"/>
          <w:numId w:val="0"/>
        </w:numPr>
        <w:suppressAutoHyphens/>
        <w:spacing w:line="360" w:lineRule="auto"/>
        <w:ind w:firstLine="640" w:firstLineChars="200"/>
        <w:contextualSpacing/>
        <w:rPr>
          <w:rFonts w:ascii="黑体" w:hAnsi="黑体" w:eastAsia="黑体" w:cs="黑体"/>
          <w:sz w:val="32"/>
          <w:szCs w:val="32"/>
        </w:rPr>
      </w:pPr>
      <w:r>
        <w:rPr>
          <w:rFonts w:hint="eastAsia" w:ascii="黑体" w:hAnsi="黑体" w:eastAsia="黑体" w:cs="黑体"/>
          <w:sz w:val="32"/>
          <w:szCs w:val="32"/>
        </w:rPr>
        <w:t>三、申报条件</w:t>
      </w:r>
    </w:p>
    <w:p>
      <w:pPr>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（一）申报地区总部应具备以下条件：</w:t>
      </w:r>
    </w:p>
    <w:p>
      <w:pPr>
        <w:spacing w:line="360" w:lineRule="auto"/>
        <w:ind w:firstLine="640" w:firstLineChars="200"/>
        <w:rPr>
          <w:rFonts w:ascii="仿宋_GB2312" w:hAnsi="仿宋_GB2312" w:eastAsia="仿宋_GB2312" w:cs="仿宋_GB2312"/>
          <w:sz w:val="32"/>
          <w:szCs w:val="32"/>
        </w:rPr>
      </w:pPr>
      <w:r>
        <w:rPr>
          <w:rFonts w:hint="eastAsia" w:ascii="仿宋_GB2312" w:eastAsia="仿宋_GB2312"/>
          <w:sz w:val="32"/>
          <w:szCs w:val="32"/>
        </w:rPr>
        <w:t>1.符合总部定义。</w:t>
      </w:r>
    </w:p>
    <w:p>
      <w:pPr>
        <w:pStyle w:val="8"/>
        <w:spacing w:before="0" w:beforeAutospacing="0" w:after="0" w:afterAutospacing="0" w:line="360" w:lineRule="auto"/>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2.申报企业具有独立法人资格，且注册地在深圳市内（含深汕特别合作区，下同），申报企业实缴注册资本不低于200万美元。</w:t>
      </w:r>
      <w:bookmarkStart w:id="0" w:name="_GoBack"/>
      <w:bookmarkEnd w:id="0"/>
    </w:p>
    <w:p>
      <w:pPr>
        <w:pStyle w:val="8"/>
        <w:spacing w:before="0" w:beforeAutospacing="0" w:after="0" w:afterAutospacing="0" w:line="360" w:lineRule="auto"/>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3.申报企业被授权管理的境内外独立法人企业不少于2家，其中至少有1家注册在深圳市内。</w:t>
      </w:r>
    </w:p>
    <w:p>
      <w:pPr>
        <w:pStyle w:val="8"/>
        <w:spacing w:before="0" w:beforeAutospacing="0" w:after="0" w:afterAutospacing="0" w:line="360" w:lineRule="auto"/>
        <w:ind w:firstLine="640" w:firstLineChars="200"/>
        <w:jc w:val="both"/>
        <w:rPr>
          <w:rFonts w:ascii="仿宋_GB2312" w:eastAsia="仿宋_GB2312" w:cs="仿宋_GB2312"/>
          <w:color w:val="000000"/>
          <w:sz w:val="32"/>
          <w:szCs w:val="32"/>
        </w:rPr>
      </w:pPr>
      <w:r>
        <w:rPr>
          <w:rFonts w:hint="eastAsia" w:ascii="仿宋_GB2312" w:eastAsia="仿宋_GB2312" w:cs="仿宋_GB2312"/>
          <w:color w:val="000000"/>
          <w:sz w:val="32"/>
          <w:szCs w:val="32"/>
        </w:rPr>
        <w:t>4.母公司资产总额不低于2亿美元。服务业领域企业设立地区总部的，母公司资产总额不低于1亿美元。</w:t>
      </w:r>
    </w:p>
    <w:p>
      <w:pPr>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（二）申报具有总部功能的机构应具备以下条件：</w:t>
      </w:r>
    </w:p>
    <w:p>
      <w:pPr>
        <w:ind w:firstLine="640" w:firstLineChars="200"/>
        <w:rPr>
          <w:rFonts w:ascii="仿宋_GB2312" w:eastAsia="仿宋_GB2312"/>
          <w:sz w:val="32"/>
          <w:szCs w:val="32"/>
        </w:rPr>
      </w:pPr>
      <w:r>
        <w:rPr>
          <w:rFonts w:hint="eastAsia" w:ascii="仿宋_GB2312" w:eastAsia="仿宋_GB2312"/>
          <w:sz w:val="32"/>
          <w:szCs w:val="32"/>
        </w:rPr>
        <w:t>1.符合总部定义。</w:t>
      </w:r>
    </w:p>
    <w:p>
      <w:pPr>
        <w:ind w:firstLine="640" w:firstLineChars="200"/>
        <w:rPr>
          <w:rFonts w:ascii="仿宋_GB2312" w:eastAsia="仿宋_GB2312"/>
          <w:sz w:val="32"/>
          <w:szCs w:val="32"/>
        </w:rPr>
      </w:pPr>
      <w:r>
        <w:rPr>
          <w:rFonts w:hint="eastAsia" w:ascii="仿宋_GB2312" w:eastAsia="仿宋_GB2312"/>
          <w:sz w:val="32"/>
          <w:szCs w:val="32"/>
        </w:rPr>
        <w:t>2.具有独立法人资格的外商投资企业或其分支机构，且注册地在深圳市内，申报企业实缴的注册资本不低于100万美元。如以分支机构形式设立的，总公司拨付的运营资金应不低于100万美元。</w:t>
      </w:r>
    </w:p>
    <w:p>
      <w:pPr>
        <w:ind w:firstLine="640" w:firstLineChars="200"/>
        <w:rPr>
          <w:rFonts w:ascii="仿宋_GB2312" w:eastAsia="仿宋_GB2312"/>
          <w:sz w:val="32"/>
          <w:szCs w:val="32"/>
        </w:rPr>
      </w:pPr>
      <w:r>
        <w:rPr>
          <w:rFonts w:hint="eastAsia" w:ascii="仿宋_GB2312" w:eastAsia="仿宋_GB2312"/>
          <w:sz w:val="32"/>
          <w:szCs w:val="32"/>
        </w:rPr>
        <w:t>3.母公司资产总额不低于1亿美元。</w:t>
      </w:r>
    </w:p>
    <w:p>
      <w:pPr>
        <w:ind w:firstLine="640" w:firstLineChars="200"/>
        <w:rPr>
          <w:rFonts w:ascii="仿宋_GB2312" w:eastAsia="仿宋_GB2312"/>
          <w:sz w:val="32"/>
          <w:szCs w:val="32"/>
        </w:rPr>
      </w:pPr>
      <w:r>
        <w:rPr>
          <w:rFonts w:hint="eastAsia" w:ascii="仿宋_GB2312" w:eastAsia="仿宋_GB2312"/>
          <w:sz w:val="32"/>
          <w:szCs w:val="32"/>
        </w:rPr>
        <w:t>4.经母公司授权，承担在一个国家（或地区）以上区域内的拓展研发、销售、贸易、结算、数据等总部功能。</w:t>
      </w:r>
    </w:p>
    <w:p>
      <w:pPr>
        <w:pStyle w:val="2"/>
        <w:ind w:firstLine="640" w:firstLineChars="200"/>
      </w:pPr>
      <w:r>
        <w:rPr>
          <w:rFonts w:hint="eastAsia" w:ascii="仿宋_GB2312" w:eastAsia="仿宋_GB2312"/>
          <w:sz w:val="32"/>
          <w:szCs w:val="32"/>
        </w:rPr>
        <w:t>（三）</w:t>
      </w:r>
      <w:r>
        <w:rPr>
          <w:rFonts w:hint="eastAsia" w:ascii="仿宋_GB2312" w:hAnsi="仿宋_GB2312" w:eastAsia="仿宋_GB2312" w:cs="仿宋_GB2312"/>
          <w:sz w:val="32"/>
          <w:szCs w:val="32"/>
        </w:rPr>
        <w:t>申报主体未被列入失信联合惩戒名单，或至申报之日已移出失信联合惩戒名单。</w:t>
      </w:r>
    </w:p>
    <w:p>
      <w:pPr>
        <w:suppressAutoHyphens/>
        <w:spacing w:line="360" w:lineRule="auto"/>
        <w:ind w:firstLine="640" w:firstLineChars="200"/>
        <w:contextualSpacing/>
        <w:rPr>
          <w:rFonts w:ascii="黑体" w:hAnsi="黑体" w:eastAsia="黑体" w:cs="黑体"/>
          <w:sz w:val="32"/>
          <w:szCs w:val="32"/>
        </w:rPr>
      </w:pPr>
      <w:r>
        <w:rPr>
          <w:rFonts w:hint="eastAsia" w:ascii="黑体" w:hAnsi="黑体" w:eastAsia="黑体" w:cs="黑体"/>
          <w:sz w:val="32"/>
          <w:szCs w:val="32"/>
        </w:rPr>
        <w:t>四、申报材料</w:t>
      </w:r>
    </w:p>
    <w:p>
      <w:pPr>
        <w:ind w:firstLine="640" w:firstLineChars="200"/>
        <w:rPr>
          <w:rFonts w:ascii="仿宋_GB2312" w:eastAsia="仿宋_GB2312"/>
          <w:sz w:val="32"/>
          <w:szCs w:val="32"/>
        </w:rPr>
      </w:pPr>
      <w:r>
        <w:rPr>
          <w:rFonts w:hint="eastAsia" w:ascii="仿宋_GB2312" w:eastAsia="仿宋_GB2312"/>
          <w:sz w:val="32"/>
          <w:szCs w:val="32"/>
        </w:rPr>
        <w:t>申报企业提交以下初审材料。</w:t>
      </w:r>
    </w:p>
    <w:p>
      <w:pPr>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（一）初审材料</w:t>
      </w:r>
    </w:p>
    <w:p>
      <w:pPr>
        <w:ind w:firstLine="640" w:firstLineChars="200"/>
        <w:rPr>
          <w:rFonts w:ascii="仿宋_GB2312" w:eastAsia="仿宋_GB2312"/>
          <w:sz w:val="32"/>
          <w:szCs w:val="32"/>
        </w:rPr>
      </w:pPr>
      <w:r>
        <w:rPr>
          <w:rFonts w:hint="eastAsia" w:ascii="仿宋_GB2312" w:eastAsia="仿宋_GB2312"/>
          <w:sz w:val="32"/>
          <w:szCs w:val="32"/>
        </w:rPr>
        <w:t>1.深圳市跨国公司总部企业认定申请表。</w:t>
      </w:r>
    </w:p>
    <w:p>
      <w:pPr>
        <w:ind w:firstLine="640" w:firstLineChars="200"/>
        <w:rPr>
          <w:rFonts w:ascii="仿宋_GB2312" w:eastAsia="仿宋_GB2312"/>
          <w:sz w:val="32"/>
          <w:szCs w:val="32"/>
        </w:rPr>
      </w:pPr>
      <w:r>
        <w:rPr>
          <w:rFonts w:hint="eastAsia" w:ascii="仿宋_GB2312" w:eastAsia="仿宋_GB2312"/>
          <w:sz w:val="32"/>
          <w:szCs w:val="32"/>
        </w:rPr>
        <w:t>2.申报承诺书。</w:t>
      </w:r>
    </w:p>
    <w:p>
      <w:pPr>
        <w:ind w:firstLine="640" w:firstLineChars="200"/>
        <w:rPr>
          <w:rFonts w:ascii="仿宋_GB2312" w:eastAsia="仿宋_GB2312"/>
          <w:sz w:val="32"/>
          <w:szCs w:val="32"/>
        </w:rPr>
      </w:pPr>
      <w:r>
        <w:rPr>
          <w:rFonts w:hint="eastAsia" w:ascii="仿宋_GB2312" w:eastAsia="仿宋_GB2312"/>
          <w:sz w:val="32"/>
          <w:szCs w:val="32"/>
        </w:rPr>
        <w:t>3.母公司授权签字人签署的跨国公司地区总部或具有总部功能的机构基本职能的授权文件（参照《跨国公司总部企业授权书（示范文本）》）。</w:t>
      </w:r>
    </w:p>
    <w:p>
      <w:pPr>
        <w:ind w:firstLine="640" w:firstLineChars="200"/>
        <w:rPr>
          <w:rFonts w:ascii="仿宋_GB2312" w:eastAsia="仿宋_GB2312"/>
          <w:sz w:val="32"/>
          <w:szCs w:val="32"/>
        </w:rPr>
      </w:pPr>
      <w:r>
        <w:rPr>
          <w:rFonts w:hint="eastAsia" w:ascii="仿宋_GB2312" w:eastAsia="仿宋_GB2312"/>
          <w:sz w:val="32"/>
          <w:szCs w:val="32"/>
        </w:rPr>
        <w:t>4.申请企业的营业执照(电子件，下同)。具有总部功能的机构为分支机构的，还需提供深圳分公司营业执照及总公司拨付运营资金的证明文件。</w:t>
      </w:r>
    </w:p>
    <w:p>
      <w:pPr>
        <w:ind w:firstLine="640" w:firstLineChars="200"/>
        <w:rPr>
          <w:rFonts w:ascii="仿宋_GB2312" w:eastAsia="仿宋_GB2312"/>
          <w:sz w:val="32"/>
          <w:szCs w:val="32"/>
        </w:rPr>
      </w:pPr>
      <w:r>
        <w:rPr>
          <w:rFonts w:hint="eastAsia" w:ascii="仿宋_GB2312" w:eastAsia="仿宋_GB2312"/>
          <w:sz w:val="32"/>
          <w:szCs w:val="32"/>
        </w:rPr>
        <w:t>5.母公司近一年度审计报告。</w:t>
      </w:r>
    </w:p>
    <w:p>
      <w:pPr>
        <w:ind w:firstLine="640" w:firstLineChars="200"/>
        <w:rPr>
          <w:rFonts w:ascii="仿宋_GB2312" w:eastAsia="仿宋_GB2312"/>
          <w:sz w:val="32"/>
          <w:szCs w:val="32"/>
        </w:rPr>
      </w:pPr>
      <w:r>
        <w:rPr>
          <w:rFonts w:hint="eastAsia" w:ascii="仿宋_GB2312" w:eastAsia="仿宋_GB2312"/>
          <w:sz w:val="32"/>
          <w:szCs w:val="32"/>
        </w:rPr>
        <w:t>6.被授权管理的境内外企业的营业执照或注册登记证明材料(复印件)。</w:t>
      </w:r>
    </w:p>
    <w:p>
      <w:pPr>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（二）初审材料报送要求</w:t>
      </w:r>
    </w:p>
    <w:p>
      <w:pPr>
        <w:ind w:firstLine="640" w:firstLineChars="200"/>
        <w:rPr>
          <w:rFonts w:ascii="仿宋_GB2312" w:eastAsia="仿宋_GB2312"/>
          <w:sz w:val="32"/>
          <w:szCs w:val="32"/>
        </w:rPr>
      </w:pPr>
      <w:r>
        <w:rPr>
          <w:rFonts w:hint="eastAsia" w:ascii="仿宋_GB2312" w:eastAsia="仿宋_GB2312"/>
          <w:sz w:val="32"/>
          <w:szCs w:val="32"/>
        </w:rPr>
        <w:t>初审材料提交至大鹏新区科技创新和经济服务局。</w:t>
      </w:r>
    </w:p>
    <w:p>
      <w:pPr>
        <w:pStyle w:val="8"/>
        <w:spacing w:before="0" w:beforeAutospacing="0" w:after="0" w:afterAutospacing="0" w:line="360" w:lineRule="auto"/>
        <w:ind w:firstLine="640"/>
        <w:jc w:val="both"/>
        <w:rPr>
          <w:rFonts w:ascii="仿宋_GB2312" w:eastAsia="仿宋_GB2312"/>
          <w:sz w:val="32"/>
          <w:szCs w:val="32"/>
        </w:rPr>
      </w:pPr>
      <w:r>
        <w:rPr>
          <w:rFonts w:hint="eastAsia" w:ascii="仿宋_GB2312" w:eastAsia="仿宋_GB2312"/>
          <w:sz w:val="32"/>
          <w:szCs w:val="32"/>
        </w:rPr>
        <w:t>1.</w:t>
      </w:r>
      <w:r>
        <w:rPr>
          <w:rFonts w:hint="eastAsia" w:ascii="仿宋_GB2312" w:hAnsi="仿宋_GB2312" w:eastAsia="仿宋_GB2312" w:cs="仿宋_GB2312"/>
          <w:color w:val="000000"/>
          <w:sz w:val="32"/>
          <w:szCs w:val="32"/>
        </w:rPr>
        <w:t>前款规定未列明提供复印件的，应当提供文件的正本。</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2.申报材料需加盖申报企业公章，多页的需加盖骑缝公章。涉及外文的，需提供中文翻译件。</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3.所有材料一式5份，A4纸正反面打印/复印，非空白页（含封面）需连续编写页码，装订成册（胶装）。</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4.申报企业同时需提交与纸质申报材料内容、顺序一致的电子文档（统一刻录成光盘2张，PDF格式，能够进行目录索引）。</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五、受理机关</w:t>
      </w:r>
    </w:p>
    <w:p>
      <w:pPr>
        <w:pStyle w:val="8"/>
        <w:spacing w:before="0" w:beforeAutospacing="0" w:after="0" w:afterAutospacing="0" w:line="360" w:lineRule="auto"/>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（一）初审受理</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1.受理机关：大鹏新区科技创新和经济服务局</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2.受理时间：2021年10月8日-10月31日（第二批）。</w:t>
      </w:r>
    </w:p>
    <w:p>
      <w:pPr>
        <w:spacing w:line="360" w:lineRule="auto"/>
        <w:ind w:firstLine="640" w:firstLineChars="200"/>
        <w:rPr>
          <w:rFonts w:ascii="仿宋_GB2312" w:hAnsi="仿宋_GB2312" w:eastAsia="仿宋_GB2312" w:cs="仿宋_GB2312"/>
          <w:sz w:val="32"/>
          <w:szCs w:val="32"/>
        </w:rPr>
      </w:pPr>
      <w:r>
        <w:rPr>
          <w:rFonts w:hint="eastAsia" w:ascii="仿宋_GB2312" w:eastAsia="仿宋_GB2312"/>
          <w:sz w:val="32"/>
          <w:szCs w:val="32"/>
        </w:rPr>
        <w:t>3.受理地点：深圳市大鹏新区葵涌金岭路1号新区管委会5号楼5309室。</w:t>
      </w:r>
    </w:p>
    <w:p>
      <w:pPr>
        <w:pStyle w:val="2"/>
        <w:ind w:firstLine="640" w:firstLineChars="200"/>
      </w:pPr>
      <w:r>
        <w:rPr>
          <w:rFonts w:hint="eastAsia" w:ascii="仿宋_GB2312" w:hAnsi="仿宋_GB2312" w:eastAsia="仿宋_GB2312" w:cs="仿宋_GB2312"/>
          <w:sz w:val="32"/>
          <w:szCs w:val="32"/>
        </w:rPr>
        <w:t>4.</w:t>
      </w:r>
      <w:r>
        <w:rPr>
          <w:rFonts w:hint="eastAsia" w:ascii="仿宋_GB2312" w:hAnsi="仿宋_GB2312" w:eastAsia="仿宋_GB2312" w:cs="仿宋_GB2312"/>
          <w:bCs/>
          <w:sz w:val="32"/>
          <w:szCs w:val="32"/>
        </w:rPr>
        <w:t>咨询电话：</w:t>
      </w:r>
      <w:r>
        <w:rPr>
          <w:rFonts w:hint="eastAsia" w:ascii="仿宋_GB2312" w:hAnsi="仿宋_GB2312" w:eastAsia="仿宋_GB2312" w:cs="仿宋_GB2312"/>
          <w:sz w:val="32"/>
          <w:szCs w:val="32"/>
        </w:rPr>
        <w:t>0755-28333241，吴</w:t>
      </w:r>
      <w:r>
        <w:rPr>
          <w:rFonts w:hint="eastAsia" w:ascii="仿宋_GB2312" w:hAnsi="仿宋_GB2312" w:eastAsia="仿宋_GB2312" w:cs="仿宋_GB2312"/>
          <w:sz w:val="32"/>
          <w:szCs w:val="32"/>
          <w:lang w:eastAsia="zh-CN"/>
        </w:rPr>
        <w:t>工</w:t>
      </w:r>
      <w:r>
        <w:rPr>
          <w:rFonts w:hint="eastAsia" w:ascii="仿宋_GB2312" w:hAnsi="仿宋_GB2312" w:eastAsia="仿宋_GB2312" w:cs="仿宋_GB2312"/>
          <w:sz w:val="32"/>
          <w:szCs w:val="32"/>
        </w:rPr>
        <w:t>。</w:t>
      </w:r>
    </w:p>
    <w:p>
      <w:pPr>
        <w:pStyle w:val="8"/>
        <w:spacing w:before="0" w:beforeAutospacing="0" w:after="0" w:afterAutospacing="0" w:line="360" w:lineRule="auto"/>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（二）复审受理</w:t>
      </w:r>
    </w:p>
    <w:p>
      <w:pPr>
        <w:pStyle w:val="8"/>
        <w:spacing w:before="0" w:beforeAutospacing="0" w:after="0" w:afterAutospacing="0" w:line="360" w:lineRule="auto"/>
        <w:ind w:firstLine="640" w:firstLineChars="200"/>
        <w:jc w:val="both"/>
        <w:rPr>
          <w:rFonts w:ascii="楷体_GB2312" w:hAnsi="楷体_GB2312" w:eastAsia="楷体_GB2312" w:cs="楷体_GB2312"/>
          <w:sz w:val="32"/>
          <w:szCs w:val="32"/>
        </w:rPr>
      </w:pPr>
      <w:r>
        <w:rPr>
          <w:rFonts w:hint="eastAsia" w:ascii="仿宋_GB2312" w:eastAsia="仿宋_GB2312"/>
          <w:sz w:val="32"/>
          <w:szCs w:val="32"/>
        </w:rPr>
        <w:t>深圳市商务局</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六、办理流程</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区商务部门发布申报通知——申报企业到区商务部门提交申报材料——区商务部门报送初审结果至市商务局——市商务局复审。</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七、办理结果</w:t>
      </w:r>
    </w:p>
    <w:p>
      <w:pPr>
        <w:widowControl/>
        <w:shd w:val="clear" w:color="auto" w:fill="FFFFFF"/>
        <w:wordWrap w:val="0"/>
        <w:spacing w:line="360" w:lineRule="auto"/>
        <w:ind w:firstLine="645"/>
      </w:pPr>
      <w:r>
        <w:rPr>
          <w:rFonts w:hint="eastAsia" w:ascii="仿宋_GB2312" w:hAnsi="黑体" w:eastAsia="仿宋_GB2312"/>
          <w:sz w:val="32"/>
          <w:szCs w:val="32"/>
        </w:rPr>
        <w:t>经审核认定</w:t>
      </w:r>
      <w:r>
        <w:rPr>
          <w:rFonts w:ascii="仿宋_GB2312" w:hAnsi="黑体" w:eastAsia="仿宋_GB2312"/>
          <w:sz w:val="32"/>
          <w:szCs w:val="32"/>
        </w:rPr>
        <w:t>的</w:t>
      </w:r>
      <w:r>
        <w:rPr>
          <w:rFonts w:hint="eastAsia" w:ascii="仿宋_GB2312" w:hAnsi="黑体" w:eastAsia="仿宋_GB2312"/>
          <w:sz w:val="32"/>
          <w:szCs w:val="32"/>
        </w:rPr>
        <w:t>跨国公司</w:t>
      </w:r>
      <w:r>
        <w:rPr>
          <w:rFonts w:ascii="仿宋_GB2312" w:hAnsi="黑体" w:eastAsia="仿宋_GB2312"/>
          <w:sz w:val="32"/>
          <w:szCs w:val="32"/>
        </w:rPr>
        <w:t>总部企业，</w:t>
      </w:r>
      <w:r>
        <w:rPr>
          <w:rFonts w:hint="eastAsia" w:ascii="仿宋_GB2312" w:hAnsi="黑体" w:eastAsia="仿宋_GB2312"/>
          <w:sz w:val="32"/>
          <w:szCs w:val="32"/>
        </w:rPr>
        <w:t>市商务主管部门出具通知结果并颁发《</w:t>
      </w:r>
      <w:r>
        <w:rPr>
          <w:rFonts w:hint="eastAsia" w:ascii="仿宋_GB2312" w:hAnsi="仿宋_GB2312" w:eastAsia="仿宋_GB2312" w:cs="仿宋_GB2312"/>
          <w:sz w:val="32"/>
          <w:szCs w:val="32"/>
        </w:rPr>
        <w:t>深圳市跨国公司总部企业认定证书</w:t>
      </w:r>
      <w:r>
        <w:rPr>
          <w:rFonts w:hint="eastAsia" w:ascii="仿宋_GB2312" w:hAnsi="黑体" w:eastAsia="仿宋_GB2312"/>
          <w:sz w:val="32"/>
          <w:szCs w:val="32"/>
        </w:rPr>
        <w:t>》。</w:t>
      </w:r>
    </w:p>
    <w:p>
      <w:pPr>
        <w:widowControl/>
        <w:spacing w:line="360" w:lineRule="auto"/>
        <w:ind w:firstLine="640" w:firstLineChars="200"/>
        <w:contextualSpacing/>
        <w:rPr>
          <w:rFonts w:ascii="黑体" w:hAnsi="黑体" w:eastAsia="黑体" w:cs="黑体"/>
          <w:sz w:val="32"/>
          <w:szCs w:val="32"/>
        </w:rPr>
      </w:pPr>
      <w:r>
        <w:rPr>
          <w:rFonts w:hint="eastAsia" w:ascii="黑体" w:hAnsi="黑体" w:eastAsia="黑体" w:cs="黑体"/>
          <w:sz w:val="32"/>
          <w:szCs w:val="32"/>
        </w:rPr>
        <w:t>八、证件及有效期限</w:t>
      </w:r>
    </w:p>
    <w:p>
      <w:pPr>
        <w:widowControl/>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证件：深圳市跨国公司总部企业认定证书。</w:t>
      </w:r>
    </w:p>
    <w:p>
      <w:pPr>
        <w:widowControl/>
        <w:adjustRightInd w:val="0"/>
        <w:snapToGrid w:val="0"/>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sz w:val="32"/>
          <w:szCs w:val="32"/>
        </w:rPr>
        <w:t>有效</w:t>
      </w:r>
      <w:r>
        <w:rPr>
          <w:rFonts w:hint="eastAsia" w:ascii="仿宋_GB2312" w:eastAsia="仿宋_GB2312"/>
          <w:sz w:val="32"/>
          <w:szCs w:val="32"/>
        </w:rPr>
        <w:t>期限：一年。</w:t>
      </w:r>
    </w:p>
    <w:p>
      <w:pPr>
        <w:widowControl/>
        <w:shd w:val="clear" w:color="auto" w:fill="FFFFFF"/>
        <w:adjustRightInd w:val="0"/>
        <w:snapToGrid w:val="0"/>
        <w:spacing w:line="360" w:lineRule="auto"/>
        <w:ind w:firstLine="640" w:firstLineChars="200"/>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九、证件的法律效力</w:t>
      </w:r>
    </w:p>
    <w:p>
      <w:pPr>
        <w:widowControl/>
        <w:shd w:val="clear" w:color="auto" w:fill="FFFFFF"/>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符合申报条件即具有法律效力。</w:t>
      </w:r>
    </w:p>
    <w:p>
      <w:pPr>
        <w:widowControl/>
        <w:shd w:val="clear" w:color="auto" w:fill="FFFFFF"/>
        <w:adjustRightInd w:val="0"/>
        <w:snapToGrid w:val="0"/>
        <w:spacing w:line="360" w:lineRule="auto"/>
        <w:ind w:firstLine="640" w:firstLineChars="200"/>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十、收费</w:t>
      </w:r>
    </w:p>
    <w:p>
      <w:pPr>
        <w:widowControl/>
        <w:shd w:val="clear" w:color="auto" w:fill="FFFFFF"/>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无。</w:t>
      </w:r>
    </w:p>
    <w:p>
      <w:pPr>
        <w:pStyle w:val="2"/>
        <w:ind w:firstLine="210"/>
      </w:pP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50184"/>
    <w:rsid w:val="00050184"/>
    <w:rsid w:val="00091F61"/>
    <w:rsid w:val="000A12A7"/>
    <w:rsid w:val="000B23C9"/>
    <w:rsid w:val="000B3706"/>
    <w:rsid w:val="000D1E45"/>
    <w:rsid w:val="000D3921"/>
    <w:rsid w:val="000E191E"/>
    <w:rsid w:val="000E74E1"/>
    <w:rsid w:val="00113008"/>
    <w:rsid w:val="00146FD7"/>
    <w:rsid w:val="001473FC"/>
    <w:rsid w:val="00165A4D"/>
    <w:rsid w:val="00167A19"/>
    <w:rsid w:val="0018484F"/>
    <w:rsid w:val="00186EC0"/>
    <w:rsid w:val="001E6CF3"/>
    <w:rsid w:val="002236CE"/>
    <w:rsid w:val="002B7AD5"/>
    <w:rsid w:val="002E24F7"/>
    <w:rsid w:val="002E5CDC"/>
    <w:rsid w:val="003013CD"/>
    <w:rsid w:val="00302A2A"/>
    <w:rsid w:val="00311447"/>
    <w:rsid w:val="00327969"/>
    <w:rsid w:val="00344E48"/>
    <w:rsid w:val="00377D89"/>
    <w:rsid w:val="00380444"/>
    <w:rsid w:val="0038358F"/>
    <w:rsid w:val="003C29C0"/>
    <w:rsid w:val="003D006D"/>
    <w:rsid w:val="00401033"/>
    <w:rsid w:val="0040722B"/>
    <w:rsid w:val="00444417"/>
    <w:rsid w:val="00447E48"/>
    <w:rsid w:val="00465A8A"/>
    <w:rsid w:val="004853BE"/>
    <w:rsid w:val="004B68AC"/>
    <w:rsid w:val="005068BD"/>
    <w:rsid w:val="0053745E"/>
    <w:rsid w:val="005432F3"/>
    <w:rsid w:val="005879E6"/>
    <w:rsid w:val="005B109F"/>
    <w:rsid w:val="005B603C"/>
    <w:rsid w:val="005D2812"/>
    <w:rsid w:val="00610B4A"/>
    <w:rsid w:val="00616F08"/>
    <w:rsid w:val="006241BB"/>
    <w:rsid w:val="00661D34"/>
    <w:rsid w:val="00662AC1"/>
    <w:rsid w:val="006942A7"/>
    <w:rsid w:val="006B0E1E"/>
    <w:rsid w:val="006C22B7"/>
    <w:rsid w:val="006C3C48"/>
    <w:rsid w:val="006C4EF3"/>
    <w:rsid w:val="006E5EFD"/>
    <w:rsid w:val="00724FE1"/>
    <w:rsid w:val="00742945"/>
    <w:rsid w:val="00782724"/>
    <w:rsid w:val="00796430"/>
    <w:rsid w:val="007A027F"/>
    <w:rsid w:val="007C265D"/>
    <w:rsid w:val="007C2B83"/>
    <w:rsid w:val="007D1888"/>
    <w:rsid w:val="007F7CF3"/>
    <w:rsid w:val="00811C06"/>
    <w:rsid w:val="0082352A"/>
    <w:rsid w:val="00824EE6"/>
    <w:rsid w:val="00843181"/>
    <w:rsid w:val="00864D99"/>
    <w:rsid w:val="008719D3"/>
    <w:rsid w:val="00887EDB"/>
    <w:rsid w:val="008B61FD"/>
    <w:rsid w:val="008D3901"/>
    <w:rsid w:val="008D3D44"/>
    <w:rsid w:val="009241CD"/>
    <w:rsid w:val="00936DB0"/>
    <w:rsid w:val="00940EC1"/>
    <w:rsid w:val="00945424"/>
    <w:rsid w:val="00975F41"/>
    <w:rsid w:val="009B3B79"/>
    <w:rsid w:val="009B61BC"/>
    <w:rsid w:val="00A00604"/>
    <w:rsid w:val="00A04B52"/>
    <w:rsid w:val="00A32047"/>
    <w:rsid w:val="00A4166D"/>
    <w:rsid w:val="00A527F5"/>
    <w:rsid w:val="00AE390B"/>
    <w:rsid w:val="00AF2B04"/>
    <w:rsid w:val="00B173BA"/>
    <w:rsid w:val="00B2704C"/>
    <w:rsid w:val="00B4280E"/>
    <w:rsid w:val="00B629E7"/>
    <w:rsid w:val="00B70F6E"/>
    <w:rsid w:val="00B774E5"/>
    <w:rsid w:val="00BC38F1"/>
    <w:rsid w:val="00BE1F90"/>
    <w:rsid w:val="00C01605"/>
    <w:rsid w:val="00C143CF"/>
    <w:rsid w:val="00C3742A"/>
    <w:rsid w:val="00C4301D"/>
    <w:rsid w:val="00C51103"/>
    <w:rsid w:val="00C53216"/>
    <w:rsid w:val="00C54055"/>
    <w:rsid w:val="00C97402"/>
    <w:rsid w:val="00CA5A4B"/>
    <w:rsid w:val="00CB0F10"/>
    <w:rsid w:val="00CE0B99"/>
    <w:rsid w:val="00CE16C8"/>
    <w:rsid w:val="00CF5951"/>
    <w:rsid w:val="00D0574C"/>
    <w:rsid w:val="00D30BDE"/>
    <w:rsid w:val="00DE5BF0"/>
    <w:rsid w:val="00E23151"/>
    <w:rsid w:val="00EB15A2"/>
    <w:rsid w:val="00ED1EDF"/>
    <w:rsid w:val="00EE53BE"/>
    <w:rsid w:val="00EF414C"/>
    <w:rsid w:val="00F04F86"/>
    <w:rsid w:val="00F41891"/>
    <w:rsid w:val="00F437DC"/>
    <w:rsid w:val="00F55996"/>
    <w:rsid w:val="00F60AB0"/>
    <w:rsid w:val="00F73F12"/>
    <w:rsid w:val="00FB3061"/>
    <w:rsid w:val="00FC444B"/>
    <w:rsid w:val="00FD1594"/>
    <w:rsid w:val="00FE5102"/>
    <w:rsid w:val="00FE5F9D"/>
    <w:rsid w:val="01AD4CE6"/>
    <w:rsid w:val="02795248"/>
    <w:rsid w:val="02A627C1"/>
    <w:rsid w:val="0500262A"/>
    <w:rsid w:val="05051B0A"/>
    <w:rsid w:val="05537B47"/>
    <w:rsid w:val="06342E45"/>
    <w:rsid w:val="084D5B55"/>
    <w:rsid w:val="0C1A7613"/>
    <w:rsid w:val="0C43359F"/>
    <w:rsid w:val="0C4466DB"/>
    <w:rsid w:val="0EAE0CCC"/>
    <w:rsid w:val="0F2521E2"/>
    <w:rsid w:val="0F930D65"/>
    <w:rsid w:val="10421803"/>
    <w:rsid w:val="108D72AB"/>
    <w:rsid w:val="114843E9"/>
    <w:rsid w:val="186D45FD"/>
    <w:rsid w:val="193E5447"/>
    <w:rsid w:val="19E71B49"/>
    <w:rsid w:val="1B220825"/>
    <w:rsid w:val="1DA773ED"/>
    <w:rsid w:val="1E2E4381"/>
    <w:rsid w:val="1EF33A6E"/>
    <w:rsid w:val="22F74E2A"/>
    <w:rsid w:val="24513340"/>
    <w:rsid w:val="24745936"/>
    <w:rsid w:val="25BB113D"/>
    <w:rsid w:val="25DF262E"/>
    <w:rsid w:val="2A9D1DE1"/>
    <w:rsid w:val="2B0932A1"/>
    <w:rsid w:val="2B0C2BCF"/>
    <w:rsid w:val="2DF64C59"/>
    <w:rsid w:val="2E925D99"/>
    <w:rsid w:val="3013018A"/>
    <w:rsid w:val="30832CB1"/>
    <w:rsid w:val="31066D72"/>
    <w:rsid w:val="3191439E"/>
    <w:rsid w:val="31B8615D"/>
    <w:rsid w:val="331602C6"/>
    <w:rsid w:val="334417EE"/>
    <w:rsid w:val="3373623F"/>
    <w:rsid w:val="34465609"/>
    <w:rsid w:val="35734DF8"/>
    <w:rsid w:val="383778E2"/>
    <w:rsid w:val="3877374E"/>
    <w:rsid w:val="3A5E57A5"/>
    <w:rsid w:val="3A9426D9"/>
    <w:rsid w:val="3B1A4D89"/>
    <w:rsid w:val="3DA4558E"/>
    <w:rsid w:val="3E5D10A0"/>
    <w:rsid w:val="3FF43854"/>
    <w:rsid w:val="44037A57"/>
    <w:rsid w:val="4433475F"/>
    <w:rsid w:val="448B68A0"/>
    <w:rsid w:val="4576299B"/>
    <w:rsid w:val="48F72B9F"/>
    <w:rsid w:val="4B3204D8"/>
    <w:rsid w:val="4C314463"/>
    <w:rsid w:val="4C4C758C"/>
    <w:rsid w:val="4E1A0932"/>
    <w:rsid w:val="4EA153E0"/>
    <w:rsid w:val="4EC13B44"/>
    <w:rsid w:val="4F2B7F96"/>
    <w:rsid w:val="50DA46F4"/>
    <w:rsid w:val="515042EF"/>
    <w:rsid w:val="52B2673E"/>
    <w:rsid w:val="538263A4"/>
    <w:rsid w:val="56C86CFA"/>
    <w:rsid w:val="578759AF"/>
    <w:rsid w:val="588D1E1B"/>
    <w:rsid w:val="5E8D1686"/>
    <w:rsid w:val="5F201B93"/>
    <w:rsid w:val="61081819"/>
    <w:rsid w:val="6210104E"/>
    <w:rsid w:val="63374451"/>
    <w:rsid w:val="651E4196"/>
    <w:rsid w:val="66C75156"/>
    <w:rsid w:val="67636B31"/>
    <w:rsid w:val="67946910"/>
    <w:rsid w:val="67C834E2"/>
    <w:rsid w:val="682C2E42"/>
    <w:rsid w:val="68520B5D"/>
    <w:rsid w:val="685A00F1"/>
    <w:rsid w:val="688A0BA2"/>
    <w:rsid w:val="6AAC52A9"/>
    <w:rsid w:val="6B075DE5"/>
    <w:rsid w:val="6D4D6C29"/>
    <w:rsid w:val="6DA90A44"/>
    <w:rsid w:val="6DC1661E"/>
    <w:rsid w:val="70C77531"/>
    <w:rsid w:val="70C91E08"/>
    <w:rsid w:val="725209E5"/>
    <w:rsid w:val="73093199"/>
    <w:rsid w:val="737D292B"/>
    <w:rsid w:val="73C77947"/>
    <w:rsid w:val="74B51BD9"/>
    <w:rsid w:val="752E35F1"/>
    <w:rsid w:val="77C540F9"/>
    <w:rsid w:val="78F419F9"/>
    <w:rsid w:val="7A82635A"/>
    <w:rsid w:val="7C027E7B"/>
    <w:rsid w:val="7C6C504F"/>
    <w:rsid w:val="7CF66391"/>
    <w:rsid w:val="7E2674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4">
    <w:name w:val="Balloon Text"/>
    <w:basedOn w:val="1"/>
    <w:link w:val="25"/>
    <w:semiHidden/>
    <w:unhideWhenUsed/>
    <w:qFormat/>
    <w:uiPriority w:val="99"/>
    <w:rPr>
      <w:sz w:val="18"/>
      <w:szCs w:val="18"/>
    </w:rPr>
  </w:style>
  <w:style w:type="paragraph" w:styleId="5">
    <w:name w:val="footer"/>
    <w:basedOn w:val="1"/>
    <w:link w:val="24"/>
    <w:unhideWhenUsed/>
    <w:qFormat/>
    <w:uiPriority w:val="99"/>
    <w:pPr>
      <w:tabs>
        <w:tab w:val="center" w:pos="4153"/>
        <w:tab w:val="right" w:pos="8306"/>
      </w:tabs>
      <w:snapToGrid w:val="0"/>
      <w:jc w:val="left"/>
    </w:pPr>
    <w:rPr>
      <w:sz w:val="18"/>
      <w:szCs w:val="18"/>
    </w:rPr>
  </w:style>
  <w:style w:type="paragraph" w:styleId="6">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2"/>
    <w:rPr>
      <w:rFonts w:ascii="仿宋_GB2312" w:hAnsi="仿宋_GB2312" w:cs="仿宋_GB2312"/>
      <w:szCs w:val="32"/>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FollowedHyperlink"/>
    <w:basedOn w:val="11"/>
    <w:semiHidden/>
    <w:unhideWhenUsed/>
    <w:qFormat/>
    <w:uiPriority w:val="99"/>
    <w:rPr>
      <w:color w:val="954F72" w:themeColor="followedHyperlink"/>
      <w:u w:val="single"/>
    </w:rPr>
  </w:style>
  <w:style w:type="character" w:styleId="13">
    <w:name w:val="Emphasis"/>
    <w:basedOn w:val="11"/>
    <w:qFormat/>
    <w:uiPriority w:val="20"/>
    <w:rPr>
      <w:i/>
    </w:rPr>
  </w:style>
  <w:style w:type="character" w:styleId="14">
    <w:name w:val="Hyperlink"/>
    <w:basedOn w:val="11"/>
    <w:unhideWhenUsed/>
    <w:qFormat/>
    <w:uiPriority w:val="99"/>
    <w:rPr>
      <w:color w:val="0000FF"/>
      <w:u w:val="single"/>
    </w:rPr>
  </w:style>
  <w:style w:type="character" w:customStyle="1" w:styleId="15">
    <w:name w:val="apple-converted-space"/>
    <w:basedOn w:val="11"/>
    <w:qFormat/>
    <w:uiPriority w:val="0"/>
  </w:style>
  <w:style w:type="paragraph" w:customStyle="1" w:styleId="16">
    <w:name w:val="z-窗体顶端1"/>
    <w:basedOn w:val="1"/>
    <w:next w:val="1"/>
    <w:link w:val="17"/>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7">
    <w:name w:val="z-窗体顶端 字符"/>
    <w:basedOn w:val="11"/>
    <w:link w:val="16"/>
    <w:semiHidden/>
    <w:qFormat/>
    <w:uiPriority w:val="99"/>
    <w:rPr>
      <w:rFonts w:ascii="Arial" w:hAnsi="Arial" w:eastAsia="宋体" w:cs="Arial"/>
      <w:vanish/>
      <w:kern w:val="0"/>
      <w:sz w:val="16"/>
      <w:szCs w:val="16"/>
    </w:rPr>
  </w:style>
  <w:style w:type="paragraph" w:customStyle="1" w:styleId="18">
    <w:name w:val="z-窗体底端1"/>
    <w:basedOn w:val="1"/>
    <w:next w:val="1"/>
    <w:link w:val="19"/>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9">
    <w:name w:val="z-窗体底端 字符"/>
    <w:basedOn w:val="11"/>
    <w:link w:val="18"/>
    <w:semiHidden/>
    <w:qFormat/>
    <w:uiPriority w:val="99"/>
    <w:rPr>
      <w:rFonts w:ascii="Arial" w:hAnsi="Arial" w:eastAsia="宋体" w:cs="Arial"/>
      <w:vanish/>
      <w:kern w:val="0"/>
      <w:sz w:val="16"/>
      <w:szCs w:val="16"/>
    </w:rPr>
  </w:style>
  <w:style w:type="character" w:customStyle="1" w:styleId="20">
    <w:name w:val="da"/>
    <w:basedOn w:val="11"/>
    <w:qFormat/>
    <w:uiPriority w:val="0"/>
  </w:style>
  <w:style w:type="character" w:customStyle="1" w:styleId="21">
    <w:name w:val="zhong"/>
    <w:basedOn w:val="11"/>
    <w:qFormat/>
    <w:uiPriority w:val="0"/>
  </w:style>
  <w:style w:type="character" w:customStyle="1" w:styleId="22">
    <w:name w:val="xiao"/>
    <w:basedOn w:val="11"/>
    <w:qFormat/>
    <w:uiPriority w:val="0"/>
  </w:style>
  <w:style w:type="character" w:customStyle="1" w:styleId="23">
    <w:name w:val="页眉 Char"/>
    <w:basedOn w:val="11"/>
    <w:link w:val="6"/>
    <w:qFormat/>
    <w:uiPriority w:val="99"/>
    <w:rPr>
      <w:sz w:val="18"/>
      <w:szCs w:val="18"/>
    </w:rPr>
  </w:style>
  <w:style w:type="character" w:customStyle="1" w:styleId="24">
    <w:name w:val="页脚 Char"/>
    <w:basedOn w:val="11"/>
    <w:link w:val="5"/>
    <w:qFormat/>
    <w:uiPriority w:val="99"/>
    <w:rPr>
      <w:sz w:val="18"/>
      <w:szCs w:val="18"/>
    </w:rPr>
  </w:style>
  <w:style w:type="character" w:customStyle="1" w:styleId="25">
    <w:name w:val="批注框文本 Char"/>
    <w:basedOn w:val="11"/>
    <w:link w:val="4"/>
    <w:semiHidden/>
    <w:qFormat/>
    <w:uiPriority w:val="99"/>
    <w:rPr>
      <w:sz w:val="18"/>
      <w:szCs w:val="18"/>
    </w:rPr>
  </w:style>
  <w:style w:type="paragraph" w:customStyle="1" w:styleId="26">
    <w:name w:val="Table Paragraph"/>
    <w:basedOn w:val="1"/>
    <w:qFormat/>
    <w:uiPriority w:val="1"/>
    <w:rPr>
      <w:rFonts w:ascii="宋体" w:hAnsi="宋体" w:eastAsia="宋体" w:cs="宋体"/>
      <w:lang w:val="zh-CN" w:bidi="zh-CN"/>
    </w:rPr>
  </w:style>
  <w:style w:type="paragraph" w:customStyle="1" w:styleId="27">
    <w:name w:val="文件正文"/>
    <w:basedOn w:val="7"/>
    <w:next w:val="1"/>
    <w:qFormat/>
    <w:uiPriority w:val="0"/>
    <w:pPr>
      <w:spacing w:line="560" w:lineRule="exact"/>
      <w:ind w:firstLine="622" w:firstLineChars="200"/>
    </w:pPr>
    <w:rPr>
      <w:rFonts w:hAnsi="宋体" w:eastAsia="仿宋_GB2312" w:cs="宋体"/>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261</Words>
  <Characters>1492</Characters>
  <Lines>12</Lines>
  <Paragraphs>3</Paragraphs>
  <TotalTime>80</TotalTime>
  <ScaleCrop>false</ScaleCrop>
  <LinksUpToDate>false</LinksUpToDate>
  <CharactersWithSpaces>1750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2018-05-19T14:36:00Z</dcterms:created>
  <dc:creator>Administrator</dc:creator>
  <cp:lastModifiedBy>恩恩</cp:lastModifiedBy>
  <cp:lastPrinted>2021-02-20T09:29:00Z</cp:lastPrinted>
  <dcterms:modified xsi:type="dcterms:W3CDTF">2021-09-15T08:29:54Z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