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val="0"/>
          <w:bCs w:val="0"/>
          <w:sz w:val="32"/>
          <w:szCs w:val="32"/>
        </w:rPr>
      </w:pPr>
      <w:r>
        <w:rPr>
          <w:rFonts w:hint="eastAsia" w:ascii="黑体" w:hAnsi="黑体" w:eastAsia="黑体"/>
          <w:b w:val="0"/>
          <w:bCs w:val="0"/>
          <w:sz w:val="32"/>
          <w:szCs w:val="32"/>
        </w:rPr>
        <w:t>附件</w:t>
      </w:r>
      <w:r>
        <w:rPr>
          <w:rFonts w:hint="default" w:ascii="黑体" w:hAnsi="黑体" w:eastAsia="黑体"/>
          <w:b w:val="0"/>
          <w:bCs w:val="0"/>
          <w:sz w:val="32"/>
          <w:szCs w:val="32"/>
        </w:rPr>
        <w:t>4</w:t>
      </w:r>
      <w:r>
        <w:rPr>
          <w:rFonts w:hint="eastAsia" w:ascii="黑体" w:hAnsi="黑体" w:eastAsia="黑体"/>
          <w:b w:val="0"/>
          <w:bCs w:val="0"/>
          <w:sz w:val="32"/>
          <w:szCs w:val="32"/>
        </w:rPr>
        <w:t>：《实施细则》申报材料清单</w:t>
      </w:r>
    </w:p>
    <w:p/>
    <w:tbl>
      <w:tblPr>
        <w:tblStyle w:val="8"/>
        <w:tblW w:w="10194"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9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top w:val="single" w:color="auto" w:sz="12" w:space="0"/>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序号</w:t>
            </w:r>
          </w:p>
        </w:tc>
        <w:tc>
          <w:tcPr>
            <w:tcW w:w="9415" w:type="dxa"/>
            <w:tcBorders>
              <w:top w:val="single" w:color="auto" w:sz="12" w:space="0"/>
              <w:bottom w:val="single" w:color="auto" w:sz="12" w:space="0"/>
              <w:righ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一</w:t>
            </w:r>
            <w:r>
              <w:rPr>
                <w:rFonts w:ascii="黑体" w:hAnsi="黑体" w:eastAsia="黑体"/>
                <w:kern w:val="0"/>
                <w:sz w:val="24"/>
                <w:szCs w:val="24"/>
              </w:rPr>
              <w:t>、基础申报材料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专项资金申请表（附件</w:t>
            </w:r>
            <w:r>
              <w:rPr>
                <w:rFonts w:hAnsi="仿宋"/>
                <w:kern w:val="0"/>
                <w:sz w:val="24"/>
                <w:szCs w:val="24"/>
              </w:rPr>
              <w:t>1</w:t>
            </w:r>
            <w:r>
              <w:rPr>
                <w:rFonts w:hint="eastAsia" w:hAnsi="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深圳市相关主管部门颁发的营业执照或法人登记证书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int="default" w:hAnsi="仿宋"/>
                <w:kern w:val="0"/>
                <w:sz w:val="24"/>
                <w:szCs w:val="24"/>
              </w:rPr>
            </w:pPr>
            <w:r>
              <w:rPr>
                <w:rFonts w:hint="default" w:hAnsi="仿宋"/>
                <w:kern w:val="0"/>
                <w:sz w:val="24"/>
                <w:szCs w:val="24"/>
              </w:rPr>
              <w:t>3</w:t>
            </w:r>
          </w:p>
        </w:tc>
        <w:tc>
          <w:tcPr>
            <w:tcW w:w="9415" w:type="dxa"/>
            <w:tcBorders>
              <w:right w:val="single" w:color="auto" w:sz="12" w:space="0"/>
            </w:tcBorders>
            <w:noWrap w:val="0"/>
            <w:vAlign w:val="top"/>
          </w:tcPr>
          <w:p>
            <w:pPr>
              <w:spacing w:line="390" w:lineRule="exact"/>
              <w:rPr>
                <w:rFonts w:hint="default" w:hAnsi="仿宋"/>
                <w:kern w:val="0"/>
                <w:sz w:val="24"/>
                <w:szCs w:val="24"/>
              </w:rPr>
            </w:pPr>
            <w:r>
              <w:rPr>
                <w:rFonts w:hint="default" w:ascii="Calibri" w:hAnsi="仿宋" w:cs="Times New Roman"/>
                <w:kern w:val="0"/>
                <w:sz w:val="24"/>
                <w:szCs w:val="24"/>
                <w:shd w:val="clear"/>
                <w:lang w:eastAsia="zh-CN" w:bidi="ar-SA"/>
              </w:rPr>
              <w:t>本年度纳税证明</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int="default" w:hAnsi="仿宋"/>
                <w:kern w:val="0"/>
                <w:sz w:val="24"/>
                <w:szCs w:val="24"/>
              </w:rPr>
            </w:pPr>
            <w:r>
              <w:rPr>
                <w:rFonts w:hint="default" w:hAnsi="仿宋"/>
                <w:kern w:val="0"/>
                <w:sz w:val="24"/>
                <w:szCs w:val="24"/>
              </w:rPr>
              <w:t>4</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基本信用信息（深圳信用网打印，含注册资本、实收资本、成立时间、股东等信息）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int="default" w:hAnsi="仿宋"/>
                <w:kern w:val="0"/>
                <w:sz w:val="24"/>
                <w:szCs w:val="24"/>
              </w:rPr>
            </w:pPr>
            <w:r>
              <w:rPr>
                <w:rFonts w:hint="default" w:hAnsi="仿宋"/>
                <w:kern w:val="0"/>
                <w:sz w:val="24"/>
                <w:szCs w:val="24"/>
              </w:rPr>
              <w:t>5</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企业承诺书（承诺提供全部材料真实性及违反承诺应承担相应的法律责任）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int="default" w:hAnsi="仿宋"/>
                <w:kern w:val="0"/>
                <w:sz w:val="24"/>
                <w:szCs w:val="24"/>
              </w:rPr>
            </w:pPr>
            <w:r>
              <w:rPr>
                <w:rFonts w:hint="default" w:hAnsi="仿宋"/>
                <w:kern w:val="0"/>
                <w:sz w:val="24"/>
                <w:szCs w:val="24"/>
              </w:rPr>
              <w:t>6</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其他</w:t>
            </w:r>
            <w:r>
              <w:rPr>
                <w:rFonts w:hAnsi="仿宋"/>
                <w:kern w:val="0"/>
                <w:sz w:val="24"/>
                <w:szCs w:val="24"/>
              </w:rPr>
              <w:t>前海管理局要求的材料</w:t>
            </w:r>
            <w:r>
              <w:rPr>
                <w:rFonts w:hint="eastAsia" w:hAnsi="仿宋"/>
                <w:kern w:val="0"/>
                <w:sz w:val="24"/>
                <w:szCs w:val="24"/>
              </w:rPr>
              <w:t>（如需）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left w:val="single" w:color="auto" w:sz="12" w:space="0"/>
              <w:bottom w:val="single" w:color="auto" w:sz="12" w:space="0"/>
              <w:right w:val="single" w:color="auto" w:sz="12" w:space="0"/>
            </w:tcBorders>
            <w:noWrap w:val="0"/>
            <w:vAlign w:val="center"/>
          </w:tcPr>
          <w:p>
            <w:pPr>
              <w:spacing w:line="390" w:lineRule="exact"/>
              <w:ind w:firstLine="361" w:firstLineChars="150"/>
              <w:rPr>
                <w:rFonts w:hAnsi="仿宋"/>
                <w:b/>
                <w:kern w:val="0"/>
                <w:sz w:val="24"/>
                <w:szCs w:val="24"/>
              </w:rPr>
            </w:pPr>
            <w:r>
              <w:rPr>
                <w:rFonts w:hint="eastAsia" w:hAnsi="仿宋"/>
                <w:b/>
                <w:kern w:val="0"/>
                <w:sz w:val="24"/>
                <w:szCs w:val="24"/>
              </w:rPr>
              <w:t>说明</w:t>
            </w:r>
            <w:r>
              <w:rPr>
                <w:rFonts w:hAnsi="仿宋"/>
                <w:b/>
                <w:kern w:val="0"/>
                <w:sz w:val="24"/>
                <w:szCs w:val="24"/>
              </w:rPr>
              <w:t>：</w:t>
            </w:r>
            <w:r>
              <w:rPr>
                <w:rFonts w:hint="eastAsia" w:hAnsi="仿宋"/>
                <w:b/>
                <w:kern w:val="0"/>
                <w:sz w:val="24"/>
                <w:szCs w:val="24"/>
              </w:rPr>
              <w:t>申请</w:t>
            </w:r>
            <w:r>
              <w:rPr>
                <w:rFonts w:hAnsi="仿宋"/>
                <w:b/>
                <w:kern w:val="0"/>
                <w:sz w:val="24"/>
                <w:szCs w:val="24"/>
              </w:rPr>
              <w:t>机构</w:t>
            </w:r>
            <w:r>
              <w:rPr>
                <w:rFonts w:hint="eastAsia" w:hAnsi="仿宋"/>
                <w:b/>
                <w:kern w:val="0"/>
                <w:sz w:val="24"/>
                <w:szCs w:val="24"/>
              </w:rPr>
              <w:t>均需</w:t>
            </w:r>
            <w:r>
              <w:rPr>
                <w:rFonts w:hAnsi="仿宋"/>
                <w:b/>
                <w:kern w:val="0"/>
                <w:sz w:val="24"/>
                <w:szCs w:val="24"/>
              </w:rPr>
              <w:t>提交</w:t>
            </w:r>
            <w:r>
              <w:rPr>
                <w:rFonts w:hint="eastAsia" w:hAnsi="仿宋"/>
                <w:b/>
                <w:kern w:val="0"/>
                <w:sz w:val="24"/>
                <w:szCs w:val="24"/>
              </w:rPr>
              <w:t>上述</w:t>
            </w:r>
            <w:r>
              <w:rPr>
                <w:rFonts w:hAnsi="仿宋"/>
                <w:b/>
                <w:kern w:val="0"/>
                <w:sz w:val="24"/>
                <w:szCs w:val="24"/>
              </w:rPr>
              <w:t>基础申报材料</w:t>
            </w:r>
            <w:r>
              <w:rPr>
                <w:rFonts w:hint="eastAsia" w:hAnsi="仿宋"/>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二</w:t>
            </w:r>
            <w:r>
              <w:rPr>
                <w:rFonts w:ascii="黑体" w:hAnsi="黑体" w:eastAsia="黑体"/>
                <w:kern w:val="0"/>
                <w:sz w:val="24"/>
                <w:szCs w:val="24"/>
              </w:rPr>
              <w:t>、</w:t>
            </w:r>
            <w:r>
              <w:rPr>
                <w:rFonts w:hint="eastAsia" w:ascii="黑体" w:hAnsi="黑体" w:eastAsia="黑体"/>
                <w:kern w:val="0"/>
                <w:sz w:val="24"/>
                <w:szCs w:val="24"/>
              </w:rPr>
              <w:t>金融配套补充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国家金融监管部门颁发的金融许可证（如有）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市地方金融监管局下达的资金资助计划与资金到账凭证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申请租房补贴配套扶持企业，需提交办公用房租赁合同与《实施细则》出台</w:t>
            </w:r>
            <w:r>
              <w:rPr>
                <w:rFonts w:hAnsi="仿宋"/>
                <w:kern w:val="0"/>
                <w:sz w:val="24"/>
                <w:szCs w:val="24"/>
              </w:rPr>
              <w:t>日起</w:t>
            </w:r>
            <w:r>
              <w:rPr>
                <w:rFonts w:hint="eastAsia" w:hAnsi="仿宋"/>
                <w:kern w:val="0"/>
                <w:sz w:val="24"/>
                <w:szCs w:val="24"/>
              </w:rPr>
              <w:t>至2020年</w:t>
            </w:r>
            <w:r>
              <w:rPr>
                <w:rFonts w:hAnsi="仿宋"/>
                <w:kern w:val="0"/>
                <w:sz w:val="24"/>
                <w:szCs w:val="24"/>
              </w:rPr>
              <w:t>12</w:t>
            </w:r>
            <w:r>
              <w:rPr>
                <w:rFonts w:hint="eastAsia" w:hAnsi="仿宋"/>
                <w:kern w:val="0"/>
                <w:sz w:val="24"/>
                <w:szCs w:val="24"/>
              </w:rPr>
              <w:t>月31日</w:t>
            </w:r>
            <w:r>
              <w:rPr>
                <w:rFonts w:hAnsi="仿宋"/>
                <w:kern w:val="0"/>
                <w:sz w:val="24"/>
                <w:szCs w:val="24"/>
              </w:rPr>
              <w:t>的租金发票</w:t>
            </w:r>
            <w:r>
              <w:rPr>
                <w:rFonts w:hint="eastAsia" w:hAnsi="仿宋"/>
                <w:kern w:val="0"/>
                <w:sz w:val="24"/>
                <w:szCs w:val="24"/>
              </w:rPr>
              <w:t>（疫情期间减免的租金不予配套）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left w:val="single" w:color="auto" w:sz="12" w:space="0"/>
              <w:bottom w:val="single" w:color="auto" w:sz="12" w:space="0"/>
              <w:right w:val="single" w:color="auto" w:sz="12" w:space="0"/>
            </w:tcBorders>
            <w:noWrap w:val="0"/>
            <w:vAlign w:val="center"/>
          </w:tcPr>
          <w:p>
            <w:pPr>
              <w:spacing w:line="390" w:lineRule="exact"/>
              <w:ind w:firstLine="361" w:firstLineChars="150"/>
              <w:rPr>
                <w:rFonts w:hAnsi="仿宋"/>
                <w:b/>
                <w:kern w:val="0"/>
                <w:sz w:val="24"/>
                <w:szCs w:val="24"/>
              </w:rPr>
            </w:pPr>
            <w:r>
              <w:rPr>
                <w:rFonts w:hint="eastAsia" w:hAnsi="仿宋"/>
                <w:b/>
                <w:kern w:val="0"/>
                <w:sz w:val="24"/>
                <w:szCs w:val="24"/>
              </w:rPr>
              <w:t>说明</w:t>
            </w:r>
            <w:r>
              <w:rPr>
                <w:rFonts w:hAnsi="仿宋"/>
                <w:b/>
                <w:kern w:val="0"/>
                <w:sz w:val="24"/>
                <w:szCs w:val="24"/>
              </w:rPr>
              <w:t>：</w:t>
            </w:r>
            <w:r>
              <w:rPr>
                <w:rFonts w:hint="eastAsia" w:hAnsi="仿宋"/>
                <w:b/>
                <w:kern w:val="0"/>
                <w:sz w:val="24"/>
                <w:szCs w:val="24"/>
              </w:rPr>
              <w:t>《实施细则》出台前已落户前海的企业可申请一次性落户奖励配套扶持，已开展的其他业务及事项不列入申报范围。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黑体" w:hAnsi="黑体" w:eastAsia="黑体"/>
                <w:kern w:val="0"/>
                <w:sz w:val="24"/>
                <w:szCs w:val="24"/>
              </w:rPr>
            </w:pPr>
            <w:r>
              <w:rPr>
                <w:rFonts w:hint="eastAsia" w:ascii="黑体" w:hAnsi="黑体" w:eastAsia="黑体"/>
                <w:kern w:val="0"/>
                <w:sz w:val="24"/>
                <w:szCs w:val="24"/>
              </w:rPr>
              <w:t>三</w:t>
            </w:r>
            <w:r>
              <w:rPr>
                <w:rFonts w:ascii="黑体" w:hAnsi="黑体" w:eastAsia="黑体"/>
                <w:kern w:val="0"/>
                <w:sz w:val="24"/>
                <w:szCs w:val="24"/>
              </w:rPr>
              <w:t>、</w:t>
            </w:r>
            <w:r>
              <w:rPr>
                <w:rFonts w:hint="eastAsia" w:ascii="黑体" w:hAnsi="黑体" w:eastAsia="黑体"/>
                <w:kern w:val="0"/>
                <w:sz w:val="24"/>
                <w:szCs w:val="24"/>
              </w:rPr>
              <w:t>专业子公司和专营机构补充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国家金融监管部门颁发的金融许可证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bottom w:val="single" w:color="auto" w:sz="12" w:space="0"/>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专业子公司，需提交验资报告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四</w:t>
            </w:r>
            <w:r>
              <w:rPr>
                <w:rFonts w:ascii="黑体" w:hAnsi="黑体" w:eastAsia="黑体"/>
                <w:kern w:val="0"/>
                <w:sz w:val="24"/>
                <w:szCs w:val="24"/>
              </w:rPr>
              <w:t>、</w:t>
            </w:r>
            <w:r>
              <w:rPr>
                <w:rFonts w:hint="eastAsia" w:ascii="黑体" w:hAnsi="黑体" w:eastAsia="黑体"/>
                <w:kern w:val="0"/>
                <w:sz w:val="24"/>
                <w:szCs w:val="24"/>
              </w:rPr>
              <w:t>安家补贴补充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国家金融监管部门颁发的金融许可证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Ansi="仿宋"/>
                <w:kern w:val="0"/>
                <w:sz w:val="24"/>
                <w:szCs w:val="24"/>
              </w:rPr>
              <w:t>2</w:t>
            </w:r>
          </w:p>
        </w:tc>
        <w:tc>
          <w:tcPr>
            <w:tcW w:w="9415" w:type="dxa"/>
            <w:tcBorders>
              <w:bottom w:val="single" w:color="auto" w:sz="12" w:space="0"/>
              <w:right w:val="single" w:color="auto" w:sz="12" w:space="0"/>
            </w:tcBorders>
            <w:noWrap w:val="0"/>
            <w:vAlign w:val="top"/>
          </w:tcPr>
          <w:p>
            <w:pPr>
              <w:spacing w:line="390" w:lineRule="exact"/>
              <w:rPr>
                <w:rFonts w:hint="default" w:hAnsi="仿宋"/>
                <w:kern w:val="0"/>
                <w:sz w:val="24"/>
                <w:szCs w:val="24"/>
              </w:rPr>
            </w:pPr>
            <w:r>
              <w:rPr>
                <w:rFonts w:hint="eastAsia" w:ascii="Calibri" w:hAnsi="仿宋" w:eastAsia="宋体" w:cs="Times New Roman"/>
                <w:kern w:val="0"/>
                <w:sz w:val="24"/>
                <w:szCs w:val="24"/>
                <w:lang w:val="en-US" w:eastAsia="zh-CN" w:bidi="ar-SA"/>
              </w:rPr>
              <w:t>金融企业总部的深圳市级分公司需提供唯一深圳市级分公司</w:t>
            </w:r>
            <w:r>
              <w:rPr>
                <w:rFonts w:hint="default" w:ascii="Calibri" w:hAnsi="仿宋" w:cs="Times New Roman"/>
                <w:kern w:val="0"/>
                <w:sz w:val="24"/>
                <w:szCs w:val="24"/>
                <w:lang w:eastAsia="zh-CN" w:bidi="ar-SA"/>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五</w:t>
            </w:r>
            <w:r>
              <w:rPr>
                <w:rFonts w:ascii="黑体" w:hAnsi="黑体" w:eastAsia="黑体"/>
                <w:kern w:val="0"/>
                <w:sz w:val="24"/>
                <w:szCs w:val="24"/>
              </w:rPr>
              <w:t>、</w:t>
            </w:r>
            <w:r>
              <w:rPr>
                <w:rFonts w:hint="eastAsia" w:ascii="黑体" w:hAnsi="黑体" w:eastAsia="黑体"/>
                <w:kern w:val="0"/>
                <w:sz w:val="24"/>
                <w:szCs w:val="24"/>
              </w:rPr>
              <w:t>跨境业务补充材料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楷体_GB2312" w:hAnsi="楷体" w:eastAsia="楷体_GB2312"/>
                <w:b/>
                <w:kern w:val="0"/>
                <w:sz w:val="24"/>
                <w:szCs w:val="24"/>
              </w:rPr>
              <w:t>（一）跨境股权投资补充材料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外商投资股权投资企业试点工作领导小组办公室或合格境内投资者境外投资试点工作联席会议办公室的批复文件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Ansi="仿宋"/>
                <w:kern w:val="0"/>
                <w:sz w:val="24"/>
                <w:szCs w:val="24"/>
              </w:rPr>
              <w:t>2</w:t>
            </w:r>
          </w:p>
        </w:tc>
        <w:tc>
          <w:tcPr>
            <w:tcW w:w="9415" w:type="dxa"/>
            <w:tcBorders>
              <w:right w:val="single" w:color="auto" w:sz="12" w:space="0"/>
            </w:tcBorders>
            <w:noWrap w:val="0"/>
            <w:vAlign w:val="top"/>
          </w:tcPr>
          <w:p>
            <w:pPr>
              <w:spacing w:line="390" w:lineRule="exact"/>
              <w:rPr>
                <w:rFonts w:hint="default" w:hAnsi="仿宋"/>
                <w:kern w:val="0"/>
                <w:sz w:val="24"/>
                <w:szCs w:val="24"/>
              </w:rPr>
            </w:pPr>
            <w:r>
              <w:rPr>
                <w:rFonts w:hint="eastAsia" w:hAnsi="仿宋"/>
                <w:kern w:val="0"/>
                <w:sz w:val="24"/>
                <w:szCs w:val="24"/>
              </w:rPr>
              <w:t>中国证券投资基金业</w:t>
            </w:r>
            <w:r>
              <w:rPr>
                <w:rFonts w:hAnsi="仿宋"/>
                <w:kern w:val="0"/>
                <w:sz w:val="24"/>
                <w:szCs w:val="24"/>
              </w:rPr>
              <w:t>协会备案文件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Ansi="仿宋"/>
                <w:kern w:val="0"/>
                <w:sz w:val="24"/>
                <w:szCs w:val="24"/>
              </w:rPr>
              <w:t>3</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外商投资股权投资试点基金管理企业，需提交：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restart"/>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（1）基金管理协议</w:t>
            </w:r>
            <w:r>
              <w:rPr>
                <w:rFonts w:hAnsi="仿宋"/>
                <w:kern w:val="0"/>
                <w:sz w:val="24"/>
                <w:szCs w:val="24"/>
              </w:rPr>
              <w:t>（</w:t>
            </w:r>
            <w:r>
              <w:rPr>
                <w:rFonts w:hint="eastAsia" w:hAnsi="仿宋"/>
                <w:kern w:val="0"/>
                <w:sz w:val="24"/>
                <w:szCs w:val="24"/>
              </w:rPr>
              <w:t>如基金公司自行管理，则提供公司章程</w:t>
            </w:r>
            <w:r>
              <w:rPr>
                <w:rFonts w:hAnsi="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continue"/>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top"/>
          </w:tcPr>
          <w:p>
            <w:pPr>
              <w:spacing w:line="390" w:lineRule="exact"/>
              <w:rPr>
                <w:rFonts w:hAnsi="仿宋"/>
                <w:kern w:val="0"/>
                <w:sz w:val="24"/>
                <w:szCs w:val="24"/>
              </w:rPr>
            </w:pPr>
            <w:r>
              <w:rPr>
                <w:rFonts w:hAnsi="仿宋"/>
                <w:kern w:val="0"/>
                <w:sz w:val="24"/>
                <w:szCs w:val="24"/>
              </w:rPr>
              <w:t>（</w:t>
            </w:r>
            <w:r>
              <w:rPr>
                <w:rFonts w:hint="eastAsia" w:hAnsi="仿宋"/>
                <w:kern w:val="0"/>
                <w:sz w:val="24"/>
                <w:szCs w:val="24"/>
              </w:rPr>
              <w:t>2</w:t>
            </w:r>
            <w:r>
              <w:rPr>
                <w:rFonts w:hAnsi="仿宋"/>
                <w:kern w:val="0"/>
                <w:sz w:val="24"/>
                <w:szCs w:val="24"/>
              </w:rPr>
              <w:t>）</w:t>
            </w:r>
            <w:r>
              <w:rPr>
                <w:rFonts w:hint="eastAsia" w:hAnsi="仿宋"/>
                <w:kern w:val="0"/>
                <w:sz w:val="24"/>
                <w:szCs w:val="24"/>
              </w:rPr>
              <w:t>公司制出具最近一期验资报告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continue"/>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top"/>
          </w:tcPr>
          <w:p>
            <w:pPr>
              <w:spacing w:line="390" w:lineRule="exact"/>
              <w:rPr>
                <w:rFonts w:hAnsi="仿宋"/>
                <w:kern w:val="0"/>
                <w:sz w:val="24"/>
                <w:szCs w:val="24"/>
              </w:rPr>
            </w:pPr>
            <w:r>
              <w:rPr>
                <w:rFonts w:hAnsi="仿宋"/>
                <w:kern w:val="0"/>
                <w:sz w:val="24"/>
                <w:szCs w:val="24"/>
              </w:rPr>
              <w:t>（</w:t>
            </w:r>
            <w:r>
              <w:rPr>
                <w:rFonts w:hint="eastAsia" w:hAnsi="仿宋"/>
                <w:kern w:val="0"/>
                <w:sz w:val="24"/>
                <w:szCs w:val="24"/>
              </w:rPr>
              <w:t>3</w:t>
            </w:r>
            <w:r>
              <w:rPr>
                <w:rFonts w:hAnsi="仿宋"/>
                <w:kern w:val="0"/>
                <w:sz w:val="24"/>
                <w:szCs w:val="24"/>
              </w:rPr>
              <w:t>）</w:t>
            </w:r>
            <w:r>
              <w:rPr>
                <w:rFonts w:hint="eastAsia" w:hAnsi="仿宋"/>
                <w:kern w:val="0"/>
                <w:sz w:val="24"/>
                <w:szCs w:val="24"/>
              </w:rPr>
              <w:t>合伙制出具银行托管协议与托管资金到账确认函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Ansi="仿宋"/>
                <w:kern w:val="0"/>
                <w:sz w:val="24"/>
                <w:szCs w:val="24"/>
              </w:rPr>
              <w:t>4</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合格境内投资者境外投资试点基金管理企业，需提交：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restart"/>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（1）合格境内投资者境外投资试点工作联席会议办公室出具的关于额度的批复文件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continue"/>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（2）托管银行的流水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楷体_GB2312" w:hAnsi="楷体" w:eastAsia="楷体_GB2312"/>
                <w:b/>
                <w:kern w:val="0"/>
                <w:sz w:val="24"/>
                <w:szCs w:val="24"/>
              </w:rPr>
              <w:t>（二）跨境发债补充材料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境外发债的，</w:t>
            </w:r>
            <w:r>
              <w:rPr>
                <w:rFonts w:hAnsi="仿宋"/>
                <w:kern w:val="0"/>
                <w:sz w:val="24"/>
                <w:szCs w:val="24"/>
              </w:rPr>
              <w:t>需提交</w:t>
            </w:r>
            <w:r>
              <w:rPr>
                <w:rFonts w:hint="eastAsia" w:hAnsi="仿宋"/>
                <w:kern w:val="0"/>
                <w:sz w:val="24"/>
                <w:szCs w:val="24"/>
              </w:rPr>
              <w:t>国家发改委出具的《企业借用外债备案登记证明》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债券募集说明书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债券发行募集资金收款凭证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4</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律师事务所或承销商出具的债券发行募集完毕</w:t>
            </w:r>
            <w:r>
              <w:rPr>
                <w:rFonts w:hint="default" w:hAnsi="仿宋"/>
                <w:kern w:val="0"/>
                <w:sz w:val="24"/>
                <w:szCs w:val="24"/>
              </w:rPr>
              <w:t>材料</w:t>
            </w:r>
            <w:r>
              <w:rPr>
                <w:rFonts w:hint="eastAsia" w:hAnsi="仿宋"/>
                <w:kern w:val="0"/>
                <w:sz w:val="24"/>
                <w:szCs w:val="24"/>
              </w:rPr>
              <w:t>（附有律师事务所或承销商的营业执照和执业许可证）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5</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境内</w:t>
            </w:r>
            <w:r>
              <w:rPr>
                <w:rFonts w:hAnsi="仿宋"/>
                <w:kern w:val="0"/>
                <w:sz w:val="24"/>
                <w:szCs w:val="24"/>
              </w:rPr>
              <w:t>发债并用于港资企业</w:t>
            </w:r>
            <w:r>
              <w:rPr>
                <w:rFonts w:hint="eastAsia" w:hAnsi="仿宋"/>
                <w:kern w:val="0"/>
                <w:sz w:val="24"/>
                <w:szCs w:val="24"/>
              </w:rPr>
              <w:t>的</w:t>
            </w:r>
            <w:r>
              <w:rPr>
                <w:rFonts w:hAnsi="仿宋"/>
                <w:kern w:val="0"/>
                <w:sz w:val="24"/>
                <w:szCs w:val="24"/>
              </w:rPr>
              <w:t>，</w:t>
            </w:r>
            <w:r>
              <w:rPr>
                <w:rFonts w:hint="eastAsia" w:hAnsi="仿宋"/>
                <w:kern w:val="0"/>
                <w:sz w:val="24"/>
                <w:szCs w:val="24"/>
              </w:rPr>
              <w:t>需提交募集资金用途说明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6</w:t>
            </w:r>
          </w:p>
        </w:tc>
        <w:tc>
          <w:tcPr>
            <w:tcW w:w="9415" w:type="dxa"/>
            <w:tcBorders>
              <w:bottom w:val="single" w:color="auto" w:sz="12" w:space="0"/>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发行绿色</w:t>
            </w:r>
            <w:r>
              <w:rPr>
                <w:rFonts w:hAnsi="仿宋"/>
                <w:kern w:val="0"/>
                <w:sz w:val="24"/>
                <w:szCs w:val="24"/>
              </w:rPr>
              <w:t>债</w:t>
            </w:r>
            <w:r>
              <w:rPr>
                <w:rFonts w:hint="eastAsia" w:hAnsi="仿宋"/>
                <w:kern w:val="0"/>
                <w:sz w:val="24"/>
                <w:szCs w:val="24"/>
              </w:rPr>
              <w:t>券的</w:t>
            </w:r>
            <w:r>
              <w:rPr>
                <w:rFonts w:hAnsi="仿宋"/>
                <w:kern w:val="0"/>
                <w:sz w:val="24"/>
                <w:szCs w:val="24"/>
              </w:rPr>
              <w:t>，</w:t>
            </w:r>
            <w:r>
              <w:rPr>
                <w:rFonts w:hint="eastAsia" w:hAnsi="仿宋"/>
                <w:kern w:val="0"/>
                <w:sz w:val="24"/>
                <w:szCs w:val="24"/>
              </w:rPr>
              <w:t>需</w:t>
            </w:r>
            <w:r>
              <w:rPr>
                <w:rFonts w:hAnsi="仿宋"/>
                <w:kern w:val="0"/>
                <w:sz w:val="24"/>
                <w:szCs w:val="24"/>
              </w:rPr>
              <w:t>提交相关</w:t>
            </w:r>
            <w:r>
              <w:rPr>
                <w:rFonts w:hint="eastAsia" w:hAnsi="仿宋"/>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楷体_GB2312" w:hAnsi="楷体" w:eastAsia="楷体_GB2312"/>
                <w:b/>
                <w:kern w:val="0"/>
                <w:sz w:val="24"/>
                <w:szCs w:val="24"/>
              </w:rPr>
              <w:t>（三）本外币资金池补充材料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人民银行深圳市中心支行出具的开展人民币资金池业务的</w:t>
            </w:r>
            <w:r>
              <w:rPr>
                <w:rFonts w:hAnsi="仿宋"/>
                <w:kern w:val="0"/>
                <w:sz w:val="24"/>
                <w:szCs w:val="24"/>
              </w:rPr>
              <w:t>备案通知书</w:t>
            </w:r>
            <w:r>
              <w:rPr>
                <w:rFonts w:hint="eastAsia" w:hAnsi="仿宋"/>
                <w:kern w:val="0"/>
                <w:sz w:val="24"/>
                <w:szCs w:val="24"/>
              </w:rPr>
              <w:t>或深圳外汇局出具的外汇资金集中运营管理业务的备案通知书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与银行签署的业务协议或确认书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上年度资金池展业规模说明及主办银行流水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left w:val="single" w:color="auto" w:sz="12" w:space="0"/>
              <w:bottom w:val="single" w:color="auto" w:sz="12" w:space="0"/>
              <w:right w:val="single" w:color="auto" w:sz="12" w:space="0"/>
            </w:tcBorders>
            <w:noWrap w:val="0"/>
            <w:vAlign w:val="center"/>
          </w:tcPr>
          <w:p>
            <w:pPr>
              <w:spacing w:line="390" w:lineRule="exact"/>
              <w:ind w:firstLine="361" w:firstLineChars="150"/>
              <w:rPr>
                <w:rFonts w:hAnsi="仿宋"/>
                <w:b/>
                <w:kern w:val="0"/>
                <w:sz w:val="24"/>
                <w:szCs w:val="24"/>
              </w:rPr>
            </w:pPr>
            <w:r>
              <w:rPr>
                <w:rFonts w:hint="eastAsia" w:hAnsi="仿宋"/>
                <w:b/>
                <w:kern w:val="0"/>
                <w:sz w:val="24"/>
                <w:szCs w:val="24"/>
              </w:rPr>
              <w:t>说明</w:t>
            </w:r>
            <w:r>
              <w:rPr>
                <w:rFonts w:hAnsi="仿宋"/>
                <w:b/>
                <w:kern w:val="0"/>
                <w:sz w:val="24"/>
                <w:szCs w:val="24"/>
              </w:rPr>
              <w:t>：</w:t>
            </w:r>
            <w:r>
              <w:rPr>
                <w:rFonts w:hint="eastAsia" w:hAnsi="仿宋"/>
                <w:b/>
                <w:kern w:val="0"/>
                <w:sz w:val="24"/>
                <w:szCs w:val="24"/>
              </w:rPr>
              <w:t>1.展业</w:t>
            </w:r>
            <w:r>
              <w:rPr>
                <w:rFonts w:hAnsi="仿宋"/>
                <w:b/>
                <w:kern w:val="0"/>
                <w:sz w:val="24"/>
                <w:szCs w:val="24"/>
              </w:rPr>
              <w:t>规模为</w:t>
            </w:r>
            <w:r>
              <w:rPr>
                <w:rFonts w:hint="eastAsia" w:hAnsi="仿宋"/>
                <w:b/>
                <w:kern w:val="0"/>
                <w:sz w:val="24"/>
                <w:szCs w:val="24"/>
              </w:rPr>
              <w:t>资金流入加</w:t>
            </w:r>
            <w:r>
              <w:rPr>
                <w:rFonts w:hAnsi="仿宋"/>
                <w:b/>
                <w:kern w:val="0"/>
                <w:sz w:val="24"/>
                <w:szCs w:val="24"/>
              </w:rPr>
              <w:t>资金流出</w:t>
            </w:r>
            <w:r>
              <w:rPr>
                <w:rFonts w:hint="eastAsia" w:hAnsi="仿宋"/>
                <w:b/>
                <w:kern w:val="0"/>
                <w:sz w:val="24"/>
                <w:szCs w:val="24"/>
              </w:rPr>
              <w:t>金额</w:t>
            </w:r>
            <w:r>
              <w:rPr>
                <w:rFonts w:hAnsi="仿宋"/>
                <w:b/>
                <w:kern w:val="0"/>
                <w:sz w:val="24"/>
                <w:szCs w:val="24"/>
              </w:rPr>
              <w:t>；</w:t>
            </w:r>
          </w:p>
          <w:p>
            <w:pPr>
              <w:spacing w:line="390" w:lineRule="exact"/>
              <w:ind w:firstLine="361" w:firstLineChars="150"/>
              <w:rPr>
                <w:rFonts w:hAnsi="仿宋"/>
                <w:b/>
                <w:kern w:val="0"/>
                <w:sz w:val="24"/>
                <w:szCs w:val="24"/>
              </w:rPr>
            </w:pPr>
            <w:r>
              <w:rPr>
                <w:rFonts w:hint="eastAsia" w:hAnsi="仿宋"/>
                <w:b/>
                <w:kern w:val="0"/>
                <w:sz w:val="24"/>
                <w:szCs w:val="24"/>
              </w:rPr>
              <w:t>2.以外币计价的跨境资金流动规模，原则上以国家统计局公布的年平均汇率全折人民币进行申报。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楷体_GB2312" w:hAnsi="楷体" w:eastAsia="楷体_GB2312"/>
                <w:b/>
                <w:kern w:val="0"/>
                <w:sz w:val="24"/>
                <w:szCs w:val="24"/>
              </w:rPr>
              <w:t>（四）跨境金融资产转让补充材料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人民银行深圳市中心支行出具的备案</w:t>
            </w:r>
            <w:r>
              <w:rPr>
                <w:rFonts w:hint="default" w:hAnsi="仿宋"/>
                <w:kern w:val="0"/>
                <w:sz w:val="24"/>
                <w:szCs w:val="24"/>
              </w:rPr>
              <w:t>文件材料</w:t>
            </w:r>
            <w:r>
              <w:rPr>
                <w:rFonts w:hint="eastAsia" w:hAnsi="仿宋"/>
                <w:kern w:val="0"/>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金融资产跨境转让协议等相关材料（如有）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资金划转凭证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left w:val="single" w:color="auto" w:sz="12" w:space="0"/>
              <w:bottom w:val="single" w:color="auto" w:sz="12" w:space="0"/>
              <w:right w:val="single" w:color="auto" w:sz="12" w:space="0"/>
            </w:tcBorders>
            <w:noWrap w:val="0"/>
            <w:vAlign w:val="center"/>
          </w:tcPr>
          <w:p>
            <w:pPr>
              <w:spacing w:line="390" w:lineRule="exact"/>
              <w:ind w:firstLine="361" w:firstLineChars="150"/>
              <w:rPr>
                <w:rFonts w:hAnsi="仿宋"/>
                <w:b/>
                <w:kern w:val="0"/>
                <w:sz w:val="24"/>
                <w:szCs w:val="24"/>
              </w:rPr>
            </w:pPr>
            <w:r>
              <w:rPr>
                <w:rFonts w:hint="eastAsia" w:hAnsi="仿宋"/>
                <w:b/>
                <w:kern w:val="0"/>
                <w:sz w:val="24"/>
                <w:szCs w:val="24"/>
              </w:rPr>
              <w:t>说明</w:t>
            </w:r>
            <w:r>
              <w:rPr>
                <w:rFonts w:hAnsi="仿宋"/>
                <w:b/>
                <w:kern w:val="0"/>
                <w:sz w:val="24"/>
                <w:szCs w:val="24"/>
              </w:rPr>
              <w:t>：</w:t>
            </w:r>
            <w:r>
              <w:rPr>
                <w:rFonts w:hint="eastAsia" w:hAnsi="仿宋"/>
                <w:b/>
                <w:kern w:val="0"/>
                <w:sz w:val="24"/>
                <w:szCs w:val="24"/>
              </w:rPr>
              <w:t>以外币计价的跨境金融资产转让，原则上以转让日汇率全折人民币进行申报。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六</w:t>
            </w:r>
            <w:r>
              <w:rPr>
                <w:rFonts w:ascii="黑体" w:hAnsi="黑体" w:eastAsia="黑体"/>
                <w:kern w:val="0"/>
                <w:sz w:val="24"/>
                <w:szCs w:val="24"/>
              </w:rPr>
              <w:t>、</w:t>
            </w:r>
            <w:r>
              <w:rPr>
                <w:rFonts w:hint="eastAsia" w:ascii="黑体" w:hAnsi="黑体" w:eastAsia="黑体"/>
                <w:kern w:val="0"/>
                <w:sz w:val="24"/>
                <w:szCs w:val="24"/>
              </w:rPr>
              <w:t>创业投资补充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int="default" w:hAnsi="仿宋"/>
                <w:kern w:val="0"/>
                <w:sz w:val="24"/>
                <w:szCs w:val="24"/>
              </w:rPr>
            </w:pPr>
            <w:r>
              <w:rPr>
                <w:rFonts w:hint="eastAsia" w:hAnsi="仿宋"/>
                <w:kern w:val="0"/>
                <w:sz w:val="24"/>
                <w:szCs w:val="24"/>
              </w:rPr>
              <w:t>中国证券投资基金业协会或</w:t>
            </w:r>
            <w:r>
              <w:rPr>
                <w:rFonts w:hAnsi="仿宋"/>
                <w:kern w:val="0"/>
                <w:sz w:val="24"/>
                <w:szCs w:val="24"/>
              </w:rPr>
              <w:t>市地方金融监管局</w:t>
            </w:r>
            <w:r>
              <w:rPr>
                <w:rFonts w:hint="eastAsia" w:hAnsi="仿宋"/>
                <w:kern w:val="0"/>
                <w:sz w:val="24"/>
                <w:szCs w:val="24"/>
              </w:rPr>
              <w:t>备案</w:t>
            </w:r>
            <w:r>
              <w:rPr>
                <w:rFonts w:hint="default" w:hAnsi="仿宋"/>
                <w:kern w:val="0"/>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投资合同（协议）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right w:val="single" w:color="auto" w:sz="12" w:space="0"/>
            </w:tcBorders>
            <w:noWrap w:val="0"/>
            <w:vAlign w:val="top"/>
          </w:tcPr>
          <w:p>
            <w:pPr>
              <w:spacing w:line="390" w:lineRule="exact"/>
              <w:rPr>
                <w:rFonts w:hAnsi="仿宋"/>
                <w:spacing w:val="-4"/>
                <w:kern w:val="0"/>
                <w:sz w:val="24"/>
                <w:szCs w:val="24"/>
              </w:rPr>
            </w:pPr>
            <w:r>
              <w:rPr>
                <w:rFonts w:hint="eastAsia" w:hAnsi="仿宋"/>
                <w:spacing w:val="-4"/>
                <w:kern w:val="0"/>
                <w:sz w:val="24"/>
                <w:szCs w:val="24"/>
              </w:rPr>
              <w:t>被投资企业</w:t>
            </w:r>
            <w:r>
              <w:rPr>
                <w:rFonts w:hAnsi="仿宋"/>
                <w:spacing w:val="-4"/>
                <w:kern w:val="0"/>
                <w:sz w:val="24"/>
                <w:szCs w:val="24"/>
              </w:rPr>
              <w:t>的</w:t>
            </w:r>
            <w:r>
              <w:rPr>
                <w:rFonts w:hint="eastAsia" w:hAnsi="仿宋"/>
                <w:spacing w:val="-4"/>
                <w:kern w:val="0"/>
                <w:sz w:val="24"/>
                <w:szCs w:val="24"/>
              </w:rPr>
              <w:t>国家高新技术企业证书或深圳高新技术企业证书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4</w:t>
            </w:r>
          </w:p>
        </w:tc>
        <w:tc>
          <w:tcPr>
            <w:tcW w:w="9415" w:type="dxa"/>
            <w:tcBorders>
              <w:bottom w:val="single" w:color="auto" w:sz="12" w:space="0"/>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接受投资当年的审计报告（附有会计师事务所营业执照和执业证书）或其他相应的证明材料（证明被投资企业接受投资时为初创期科技型企业）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七</w:t>
            </w:r>
            <w:r>
              <w:rPr>
                <w:rFonts w:ascii="黑体" w:hAnsi="黑体" w:eastAsia="黑体"/>
                <w:kern w:val="0"/>
                <w:sz w:val="24"/>
                <w:szCs w:val="24"/>
              </w:rPr>
              <w:t>、</w:t>
            </w:r>
            <w:r>
              <w:rPr>
                <w:rFonts w:hint="eastAsia" w:ascii="黑体" w:hAnsi="黑体" w:eastAsia="黑体"/>
                <w:kern w:val="0"/>
                <w:sz w:val="24"/>
                <w:szCs w:val="24"/>
              </w:rPr>
              <w:t>外商独资私募</w:t>
            </w:r>
            <w:r>
              <w:rPr>
                <w:rFonts w:ascii="黑体" w:hAnsi="黑体" w:eastAsia="黑体"/>
                <w:kern w:val="0"/>
                <w:sz w:val="24"/>
                <w:szCs w:val="24"/>
              </w:rPr>
              <w:t>证券投资基金</w:t>
            </w:r>
            <w:r>
              <w:rPr>
                <w:rFonts w:hint="eastAsia" w:ascii="黑体" w:hAnsi="黑体" w:eastAsia="黑体"/>
                <w:kern w:val="0"/>
                <w:sz w:val="24"/>
                <w:szCs w:val="24"/>
              </w:rPr>
              <w:t>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int="default" w:hAnsi="仿宋"/>
                <w:kern w:val="0"/>
                <w:sz w:val="24"/>
                <w:szCs w:val="24"/>
              </w:rPr>
            </w:pPr>
            <w:r>
              <w:rPr>
                <w:rFonts w:hint="eastAsia" w:hAnsi="仿宋"/>
                <w:kern w:val="0"/>
                <w:sz w:val="24"/>
                <w:szCs w:val="24"/>
              </w:rPr>
              <w:t>中国证券投资基金业</w:t>
            </w:r>
            <w:r>
              <w:rPr>
                <w:rFonts w:hAnsi="仿宋"/>
                <w:kern w:val="0"/>
                <w:sz w:val="24"/>
                <w:szCs w:val="24"/>
              </w:rPr>
              <w:t>协会备案文件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基金合同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bottom w:val="single" w:color="auto" w:sz="12" w:space="0"/>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托管户资产证明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八</w:t>
            </w:r>
            <w:r>
              <w:rPr>
                <w:rFonts w:ascii="黑体" w:hAnsi="黑体" w:eastAsia="黑体"/>
                <w:kern w:val="0"/>
                <w:sz w:val="24"/>
                <w:szCs w:val="24"/>
              </w:rPr>
              <w:t>、</w:t>
            </w:r>
            <w:r>
              <w:rPr>
                <w:rFonts w:hint="eastAsia" w:ascii="黑体" w:hAnsi="黑体" w:eastAsia="黑体"/>
                <w:kern w:val="0"/>
                <w:sz w:val="24"/>
                <w:szCs w:val="24"/>
              </w:rPr>
              <w:t>金融科技补充材料</w:t>
            </w:r>
            <w:r>
              <w:rPr>
                <w:rFonts w:ascii="黑体" w:hAnsi="黑体" w:eastAsia="黑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left w:val="single" w:color="auto" w:sz="12" w:space="0"/>
              <w:right w:val="single" w:color="auto" w:sz="12" w:space="0"/>
            </w:tcBorders>
            <w:noWrap w:val="0"/>
            <w:vAlign w:val="center"/>
          </w:tcPr>
          <w:p>
            <w:pPr>
              <w:spacing w:line="390" w:lineRule="exact"/>
              <w:rPr>
                <w:rFonts w:ascii="楷体" w:hAnsi="楷体" w:eastAsia="楷体"/>
                <w:kern w:val="0"/>
                <w:sz w:val="24"/>
                <w:szCs w:val="24"/>
              </w:rPr>
            </w:pPr>
            <w:r>
              <w:rPr>
                <w:rFonts w:hint="eastAsia" w:ascii="楷体_GB2312" w:hAnsi="楷体" w:eastAsia="楷体_GB2312"/>
                <w:b/>
                <w:kern w:val="0"/>
                <w:sz w:val="24"/>
                <w:szCs w:val="24"/>
              </w:rPr>
              <w:t>（一）金融科技子公司补充材料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金融科技子公司股东的材料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Ansi="仿宋"/>
                <w:kern w:val="0"/>
                <w:sz w:val="24"/>
                <w:szCs w:val="24"/>
              </w:rPr>
              <w:t>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bottom w:val="single" w:color="auto" w:sz="12" w:space="0"/>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开展</w:t>
            </w:r>
            <w:r>
              <w:rPr>
                <w:rFonts w:hAnsi="仿宋"/>
                <w:kern w:val="0"/>
                <w:sz w:val="24"/>
                <w:szCs w:val="24"/>
              </w:rPr>
              <w:t>金融科技服务的合同</w:t>
            </w:r>
            <w:r>
              <w:rPr>
                <w:rFonts w:hint="eastAsia" w:hAnsi="仿宋"/>
                <w:kern w:val="0"/>
                <w:sz w:val="24"/>
                <w:szCs w:val="24"/>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楷体" w:hAnsi="楷体" w:eastAsia="楷体"/>
                <w:kern w:val="0"/>
                <w:sz w:val="24"/>
                <w:szCs w:val="24"/>
              </w:rPr>
            </w:pPr>
            <w:r>
              <w:rPr>
                <w:rFonts w:hint="eastAsia" w:ascii="楷体_GB2312" w:hAnsi="楷体" w:eastAsia="楷体_GB2312"/>
                <w:b/>
                <w:kern w:val="0"/>
                <w:sz w:val="24"/>
                <w:szCs w:val="24"/>
              </w:rPr>
              <w:t>（二）国家高新技术企业补充材料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国家高新技术企业证书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center"/>
          </w:tcPr>
          <w:p>
            <w:pPr>
              <w:spacing w:line="390" w:lineRule="exact"/>
              <w:rPr>
                <w:rFonts w:hAnsi="仿宋"/>
                <w:kern w:val="0"/>
                <w:sz w:val="24"/>
                <w:szCs w:val="24"/>
              </w:rPr>
            </w:pPr>
            <w:r>
              <w:rPr>
                <w:rFonts w:hAnsi="仿宋"/>
                <w:kern w:val="0"/>
                <w:sz w:val="24"/>
                <w:szCs w:val="24"/>
              </w:rPr>
              <w:t>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企业为持牌金融机构开展科技服务的合同（协议）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4</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上一年度或本年度审计报告（附有会计师事务所营业执照和执业证书，证明为持牌金融机构开展科技服务收入占总收入70%以上）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5</w:t>
            </w:r>
          </w:p>
        </w:tc>
        <w:tc>
          <w:tcPr>
            <w:tcW w:w="9415" w:type="dxa"/>
            <w:tcBorders>
              <w:bottom w:val="single" w:color="auto" w:sz="12" w:space="0"/>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上一个纳税年度在前海纳税证明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九</w:t>
            </w:r>
            <w:r>
              <w:rPr>
                <w:rFonts w:ascii="黑体" w:hAnsi="黑体" w:eastAsia="黑体"/>
                <w:kern w:val="0"/>
                <w:sz w:val="24"/>
                <w:szCs w:val="24"/>
              </w:rPr>
              <w:t>、</w:t>
            </w:r>
            <w:r>
              <w:rPr>
                <w:rFonts w:hint="eastAsia" w:ascii="黑体" w:hAnsi="黑体" w:eastAsia="黑体"/>
                <w:kern w:val="0"/>
                <w:sz w:val="24"/>
                <w:szCs w:val="24"/>
              </w:rPr>
              <w:t>知识产权融资补充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专利登记簿副本或中国商标网查询证明等相关文件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与银行签订的贷款合同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bottom w:val="single" w:color="auto" w:sz="12" w:space="0"/>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银行流水证明与</w:t>
            </w:r>
            <w:r>
              <w:rPr>
                <w:rFonts w:hAnsi="仿宋"/>
                <w:kern w:val="0"/>
                <w:sz w:val="24"/>
                <w:szCs w:val="24"/>
              </w:rPr>
              <w:t>结清贷款</w:t>
            </w:r>
            <w:r>
              <w:rPr>
                <w:rFonts w:hint="eastAsia" w:hAnsi="仿宋"/>
                <w:kern w:val="0"/>
                <w:sz w:val="24"/>
                <w:szCs w:val="24"/>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十</w:t>
            </w:r>
            <w:r>
              <w:rPr>
                <w:rFonts w:ascii="黑体" w:hAnsi="黑体" w:eastAsia="黑体"/>
                <w:kern w:val="0"/>
                <w:sz w:val="24"/>
                <w:szCs w:val="24"/>
              </w:rPr>
              <w:t>、</w:t>
            </w:r>
            <w:r>
              <w:rPr>
                <w:rFonts w:hint="eastAsia" w:ascii="黑体" w:hAnsi="黑体" w:eastAsia="黑体"/>
                <w:kern w:val="0"/>
                <w:sz w:val="24"/>
                <w:szCs w:val="24"/>
              </w:rPr>
              <w:t>上市融资补充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完成上市辅导的企业，需提交证监会</w:t>
            </w:r>
            <w:r>
              <w:rPr>
                <w:rFonts w:hAnsi="仿宋"/>
                <w:kern w:val="0"/>
                <w:sz w:val="24"/>
                <w:szCs w:val="24"/>
              </w:rPr>
              <w:t>出具的上市申请材料受理通知书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获准上市的企业，需提交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restart"/>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（1）上市</w:t>
            </w:r>
            <w:r>
              <w:rPr>
                <w:rFonts w:hAnsi="仿宋"/>
                <w:kern w:val="0"/>
                <w:sz w:val="24"/>
                <w:szCs w:val="24"/>
              </w:rPr>
              <w:t>公告书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continue"/>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（2）首次</w:t>
            </w:r>
            <w:r>
              <w:rPr>
                <w:rFonts w:hAnsi="仿宋"/>
                <w:kern w:val="0"/>
                <w:sz w:val="24"/>
                <w:szCs w:val="24"/>
              </w:rPr>
              <w:t>公开发行股票的发行结果公告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continue"/>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（3）境外</w:t>
            </w:r>
            <w:r>
              <w:rPr>
                <w:rFonts w:hAnsi="仿宋"/>
                <w:kern w:val="0"/>
                <w:sz w:val="24"/>
                <w:szCs w:val="24"/>
              </w:rPr>
              <w:t>上市的</w:t>
            </w:r>
            <w:r>
              <w:rPr>
                <w:rFonts w:hint="eastAsia" w:hAnsi="仿宋"/>
                <w:kern w:val="0"/>
                <w:sz w:val="24"/>
                <w:szCs w:val="24"/>
              </w:rPr>
              <w:t>企业</w:t>
            </w:r>
            <w:r>
              <w:rPr>
                <w:rFonts w:hAnsi="仿宋"/>
                <w:kern w:val="0"/>
                <w:sz w:val="24"/>
                <w:szCs w:val="24"/>
              </w:rPr>
              <w:t>，需提交相应的证明材料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3</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spacing w:val="-4"/>
                <w:kern w:val="0"/>
                <w:sz w:val="24"/>
                <w:szCs w:val="24"/>
              </w:rPr>
              <w:t>在全国中小企业股份转让系统（新三板）挂牌的企业，需提交：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restart"/>
            <w:tcBorders>
              <w:left w:val="single" w:color="auto" w:sz="12" w:space="0"/>
            </w:tcBorders>
            <w:noWrap w:val="0"/>
            <w:vAlign w:val="center"/>
          </w:tcPr>
          <w:p>
            <w:pPr>
              <w:spacing w:line="390" w:lineRule="exact"/>
              <w:jc w:val="center"/>
              <w:rPr>
                <w:rFonts w:hAnsi="仿宋"/>
                <w:kern w:val="0"/>
                <w:sz w:val="24"/>
                <w:szCs w:val="24"/>
              </w:rPr>
            </w:pP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（1）新三板公司代码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vMerge w:val="continue"/>
            <w:tcBorders>
              <w:left w:val="single" w:color="auto" w:sz="12" w:space="0"/>
              <w:bottom w:val="single" w:color="auto" w:sz="12" w:space="0"/>
            </w:tcBorders>
            <w:noWrap w:val="0"/>
            <w:vAlign w:val="center"/>
          </w:tcPr>
          <w:p>
            <w:pPr>
              <w:spacing w:line="390" w:lineRule="exact"/>
              <w:jc w:val="center"/>
              <w:rPr>
                <w:rFonts w:hAnsi="仿宋"/>
                <w:kern w:val="0"/>
                <w:sz w:val="24"/>
                <w:szCs w:val="24"/>
              </w:rPr>
            </w:pPr>
          </w:p>
        </w:tc>
        <w:tc>
          <w:tcPr>
            <w:tcW w:w="9415" w:type="dxa"/>
            <w:tcBorders>
              <w:bottom w:val="single" w:color="auto" w:sz="12" w:space="0"/>
              <w:right w:val="single" w:color="auto" w:sz="12" w:space="0"/>
            </w:tcBorders>
            <w:noWrap w:val="0"/>
            <w:vAlign w:val="top"/>
          </w:tcPr>
          <w:p>
            <w:pPr>
              <w:spacing w:line="390" w:lineRule="exact"/>
              <w:rPr>
                <w:rFonts w:hint="default" w:hAnsi="仿宋"/>
                <w:spacing w:val="-4"/>
                <w:kern w:val="0"/>
                <w:sz w:val="24"/>
                <w:szCs w:val="24"/>
              </w:rPr>
            </w:pPr>
            <w:r>
              <w:rPr>
                <w:rFonts w:hint="eastAsia" w:hAnsi="仿宋"/>
                <w:spacing w:val="-4"/>
                <w:kern w:val="0"/>
                <w:sz w:val="24"/>
                <w:szCs w:val="24"/>
              </w:rPr>
              <w:t>（2）由基础层进入创新层，需提交新三板公告或有关</w:t>
            </w:r>
            <w:r>
              <w:rPr>
                <w:rFonts w:hint="default" w:hAnsi="仿宋"/>
                <w:spacing w:val="-4"/>
                <w:kern w:val="0"/>
                <w:sz w:val="24"/>
                <w:szCs w:val="24"/>
              </w:rPr>
              <w:t>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十一</w:t>
            </w:r>
            <w:r>
              <w:rPr>
                <w:rFonts w:ascii="黑体" w:hAnsi="黑体" w:eastAsia="黑体"/>
                <w:kern w:val="0"/>
                <w:sz w:val="24"/>
                <w:szCs w:val="24"/>
              </w:rPr>
              <w:t>、</w:t>
            </w:r>
            <w:r>
              <w:rPr>
                <w:rFonts w:hint="eastAsia" w:ascii="黑体" w:hAnsi="黑体" w:eastAsia="黑体"/>
                <w:kern w:val="0"/>
                <w:sz w:val="24"/>
                <w:szCs w:val="24"/>
              </w:rPr>
              <w:t>区域性股权市场补充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深圳区域性股权市场出具的允许挂牌发行创新型融资工具的备案通知书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bottom w:val="single" w:color="auto" w:sz="12" w:space="0"/>
              <w:right w:val="single" w:color="auto" w:sz="12" w:space="0"/>
            </w:tcBorders>
            <w:noWrap w:val="0"/>
            <w:vAlign w:val="center"/>
          </w:tcPr>
          <w:p>
            <w:pPr>
              <w:spacing w:line="390" w:lineRule="exact"/>
              <w:rPr>
                <w:rFonts w:hint="default" w:hAnsi="仿宋"/>
                <w:kern w:val="0"/>
                <w:sz w:val="24"/>
                <w:szCs w:val="24"/>
              </w:rPr>
            </w:pPr>
            <w:r>
              <w:rPr>
                <w:rFonts w:hint="eastAsia" w:hAnsi="仿宋"/>
                <w:kern w:val="0"/>
                <w:sz w:val="24"/>
                <w:szCs w:val="24"/>
              </w:rPr>
              <w:t>发行结果（产品成立）公告和资金到账</w:t>
            </w:r>
            <w:r>
              <w:rPr>
                <w:rFonts w:hint="default" w:hAnsi="仿宋"/>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十二</w:t>
            </w:r>
            <w:r>
              <w:rPr>
                <w:rFonts w:ascii="黑体" w:hAnsi="黑体" w:eastAsia="黑体"/>
                <w:kern w:val="0"/>
                <w:sz w:val="24"/>
                <w:szCs w:val="24"/>
              </w:rPr>
              <w:t>、</w:t>
            </w:r>
            <w:r>
              <w:rPr>
                <w:rFonts w:hint="eastAsia" w:ascii="黑体" w:hAnsi="黑体" w:eastAsia="黑体"/>
                <w:kern w:val="0"/>
                <w:sz w:val="24"/>
                <w:szCs w:val="24"/>
              </w:rPr>
              <w:t>金融会议补充</w:t>
            </w:r>
            <w:r>
              <w:rPr>
                <w:rFonts w:ascii="黑体" w:hAnsi="黑体" w:eastAsia="黑体"/>
                <w:kern w:val="0"/>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1</w:t>
            </w:r>
          </w:p>
        </w:tc>
        <w:tc>
          <w:tcPr>
            <w:tcW w:w="9415" w:type="dxa"/>
            <w:tcBorders>
              <w:right w:val="single" w:color="auto" w:sz="12" w:space="0"/>
            </w:tcBorders>
            <w:noWrap w:val="0"/>
            <w:vAlign w:val="center"/>
          </w:tcPr>
          <w:p>
            <w:pPr>
              <w:spacing w:line="390" w:lineRule="exact"/>
              <w:rPr>
                <w:rFonts w:hAnsi="仿宋"/>
                <w:kern w:val="0"/>
                <w:sz w:val="24"/>
                <w:szCs w:val="24"/>
              </w:rPr>
            </w:pPr>
            <w:r>
              <w:rPr>
                <w:rFonts w:hint="eastAsia" w:hAnsi="仿宋"/>
                <w:kern w:val="0"/>
                <w:sz w:val="24"/>
                <w:szCs w:val="24"/>
              </w:rPr>
              <w:t>有关部门的批复文件（如有）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int="eastAsia" w:hAnsi="仿宋"/>
                <w:kern w:val="0"/>
                <w:sz w:val="24"/>
                <w:szCs w:val="24"/>
              </w:rPr>
              <w:t>2</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tcBorders>
            <w:noWrap w:val="0"/>
            <w:vAlign w:val="center"/>
          </w:tcPr>
          <w:p>
            <w:pPr>
              <w:spacing w:line="390" w:lineRule="exact"/>
              <w:jc w:val="center"/>
              <w:rPr>
                <w:rFonts w:hAnsi="仿宋"/>
                <w:kern w:val="0"/>
                <w:sz w:val="24"/>
                <w:szCs w:val="24"/>
              </w:rPr>
            </w:pPr>
            <w:r>
              <w:rPr>
                <w:rFonts w:hAnsi="仿宋"/>
                <w:kern w:val="0"/>
                <w:sz w:val="24"/>
                <w:szCs w:val="24"/>
              </w:rPr>
              <w:t>3</w:t>
            </w:r>
          </w:p>
        </w:tc>
        <w:tc>
          <w:tcPr>
            <w:tcW w:w="9415" w:type="dxa"/>
            <w:tcBorders>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举办费用专项审计报告（附有会计事务所营业执照和执业证书）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9" w:type="dxa"/>
            <w:tcBorders>
              <w:left w:val="single" w:color="auto" w:sz="12" w:space="0"/>
              <w:bottom w:val="single" w:color="auto" w:sz="12" w:space="0"/>
            </w:tcBorders>
            <w:noWrap w:val="0"/>
            <w:vAlign w:val="center"/>
          </w:tcPr>
          <w:p>
            <w:pPr>
              <w:spacing w:line="390" w:lineRule="exact"/>
              <w:jc w:val="center"/>
              <w:rPr>
                <w:rFonts w:hAnsi="仿宋"/>
                <w:kern w:val="0"/>
                <w:sz w:val="24"/>
                <w:szCs w:val="24"/>
              </w:rPr>
            </w:pPr>
            <w:r>
              <w:rPr>
                <w:rFonts w:hAnsi="仿宋"/>
                <w:kern w:val="0"/>
                <w:sz w:val="24"/>
                <w:szCs w:val="24"/>
              </w:rPr>
              <w:t>4</w:t>
            </w:r>
          </w:p>
        </w:tc>
        <w:tc>
          <w:tcPr>
            <w:tcW w:w="9415" w:type="dxa"/>
            <w:tcBorders>
              <w:bottom w:val="single" w:color="auto" w:sz="12" w:space="0"/>
              <w:right w:val="single" w:color="auto" w:sz="12" w:space="0"/>
            </w:tcBorders>
            <w:noWrap w:val="0"/>
            <w:vAlign w:val="top"/>
          </w:tcPr>
          <w:p>
            <w:pPr>
              <w:spacing w:line="390" w:lineRule="exact"/>
              <w:rPr>
                <w:rFonts w:hAnsi="仿宋"/>
                <w:kern w:val="0"/>
                <w:sz w:val="24"/>
                <w:szCs w:val="24"/>
              </w:rPr>
            </w:pPr>
            <w:r>
              <w:rPr>
                <w:rFonts w:hint="eastAsia" w:hAnsi="仿宋"/>
                <w:kern w:val="0"/>
                <w:sz w:val="24"/>
                <w:szCs w:val="24"/>
              </w:rPr>
              <w:t>绩效总结报告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bottom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十三</w:t>
            </w:r>
            <w:r>
              <w:rPr>
                <w:rFonts w:ascii="黑体" w:hAnsi="黑体" w:eastAsia="黑体"/>
                <w:kern w:val="0"/>
                <w:sz w:val="24"/>
                <w:szCs w:val="24"/>
              </w:rPr>
              <w:t>、</w:t>
            </w:r>
            <w:r>
              <w:rPr>
                <w:rFonts w:hint="eastAsia" w:ascii="黑体" w:hAnsi="黑体" w:eastAsia="黑体"/>
                <w:kern w:val="0"/>
                <w:sz w:val="24"/>
                <w:szCs w:val="24"/>
              </w:rPr>
              <w:t>行业协会补充</w:t>
            </w:r>
            <w:r>
              <w:rPr>
                <w:rFonts w:ascii="黑体" w:hAnsi="黑体" w:eastAsia="黑体"/>
                <w:kern w:val="0"/>
                <w:sz w:val="24"/>
                <w:szCs w:val="24"/>
              </w:rPr>
              <w:t>材料</w:t>
            </w:r>
            <w:r>
              <w:rPr>
                <w:rFonts w:hint="eastAsia" w:ascii="黑体" w:hAnsi="黑体" w:eastAsia="黑体"/>
                <w:kern w:val="0"/>
                <w:sz w:val="24"/>
                <w:szCs w:val="24"/>
              </w:rPr>
              <w:t>（无补充材料）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94" w:type="dxa"/>
            <w:gridSpan w:val="2"/>
            <w:tcBorders>
              <w:top w:val="single" w:color="auto" w:sz="12" w:space="0"/>
              <w:left w:val="single" w:color="auto" w:sz="12" w:space="0"/>
              <w:bottom w:val="single" w:color="auto" w:sz="12" w:space="0"/>
              <w:right w:val="single" w:color="auto" w:sz="12" w:space="0"/>
            </w:tcBorders>
            <w:noWrap w:val="0"/>
            <w:vAlign w:val="center"/>
          </w:tcPr>
          <w:p>
            <w:pPr>
              <w:spacing w:line="390" w:lineRule="exact"/>
              <w:rPr>
                <w:rFonts w:ascii="仿宋" w:hAnsi="仿宋" w:eastAsia="仿宋"/>
                <w:kern w:val="0"/>
                <w:sz w:val="24"/>
                <w:szCs w:val="24"/>
              </w:rPr>
            </w:pPr>
            <w:r>
              <w:rPr>
                <w:rFonts w:hint="eastAsia" w:ascii="黑体" w:hAnsi="黑体" w:eastAsia="黑体"/>
                <w:kern w:val="0"/>
                <w:sz w:val="24"/>
                <w:szCs w:val="24"/>
              </w:rPr>
              <w:t>十四</w:t>
            </w:r>
            <w:r>
              <w:rPr>
                <w:rFonts w:ascii="黑体" w:hAnsi="黑体" w:eastAsia="黑体"/>
                <w:kern w:val="0"/>
                <w:sz w:val="24"/>
                <w:szCs w:val="24"/>
              </w:rPr>
              <w:t>、</w:t>
            </w:r>
            <w:r>
              <w:rPr>
                <w:rFonts w:hint="eastAsia" w:ascii="黑体" w:hAnsi="黑体" w:eastAsia="黑体"/>
                <w:kern w:val="0"/>
                <w:sz w:val="24"/>
                <w:szCs w:val="24"/>
              </w:rPr>
              <w:t>金融创新补充</w:t>
            </w:r>
            <w:r>
              <w:rPr>
                <w:rFonts w:ascii="黑体" w:hAnsi="黑体" w:eastAsia="黑体"/>
                <w:kern w:val="0"/>
                <w:sz w:val="24"/>
                <w:szCs w:val="24"/>
              </w:rPr>
              <w:t>材料</w:t>
            </w:r>
            <w:r>
              <w:rPr>
                <w:rFonts w:hint="eastAsia" w:ascii="黑体" w:hAnsi="黑体" w:eastAsia="黑体"/>
                <w:kern w:val="0"/>
                <w:sz w:val="24"/>
                <w:szCs w:val="24"/>
              </w:rPr>
              <w:t>（无补充材料）</w:t>
            </w:r>
          </w:p>
        </w:tc>
      </w:tr>
    </w:tbl>
    <w:p>
      <w:pPr>
        <w:pStyle w:val="12"/>
        <w:keepNext w:val="0"/>
        <w:keepLines w:val="0"/>
        <w:pageBreakBefore w:val="0"/>
        <w:widowControl w:val="0"/>
        <w:kinsoku/>
        <w:wordWrap/>
        <w:overflowPunct/>
        <w:topLinePunct w:val="0"/>
        <w:autoSpaceDE w:val="0"/>
        <w:autoSpaceDN w:val="0"/>
        <w:bidi w:val="0"/>
        <w:adjustRightInd/>
        <w:snapToGrid/>
        <w:spacing w:before="0" w:line="400" w:lineRule="exact"/>
        <w:ind w:left="0"/>
        <w:textAlignment w:val="auto"/>
        <w:rPr>
          <w:rFonts w:hint="eastAsia" w:ascii="Calibri" w:hAnsi="仿宋" w:eastAsia="宋体" w:cs="Times New Roman"/>
          <w:b/>
          <w:bCs/>
          <w:kern w:val="0"/>
          <w:sz w:val="24"/>
          <w:szCs w:val="24"/>
          <w:lang w:val="en-US" w:eastAsia="zh-CN" w:bidi="ar-SA"/>
        </w:rPr>
      </w:pPr>
      <w:r>
        <w:rPr>
          <w:rFonts w:hint="eastAsia" w:ascii="黑体" w:hAnsi="黑体" w:eastAsia="黑体"/>
          <w:sz w:val="32"/>
          <w:szCs w:val="32"/>
        </w:rPr>
        <w:br w:type="page"/>
      </w:r>
      <w:r>
        <w:rPr>
          <w:rFonts w:hint="eastAsia" w:ascii="Calibri" w:hAnsi="仿宋" w:eastAsia="宋体" w:cs="Times New Roman"/>
          <w:b/>
          <w:bCs/>
          <w:kern w:val="0"/>
          <w:sz w:val="24"/>
          <w:szCs w:val="24"/>
          <w:lang w:val="en-US" w:eastAsia="zh-CN" w:bidi="ar-SA"/>
        </w:rPr>
        <w:t>说明：</w:t>
      </w:r>
    </w:p>
    <w:p>
      <w:pPr>
        <w:pStyle w:val="12"/>
        <w:keepNext w:val="0"/>
        <w:keepLines w:val="0"/>
        <w:pageBreakBefore w:val="0"/>
        <w:widowControl w:val="0"/>
        <w:kinsoku/>
        <w:wordWrap/>
        <w:overflowPunct/>
        <w:topLinePunct w:val="0"/>
        <w:autoSpaceDE w:val="0"/>
        <w:autoSpaceDN w:val="0"/>
        <w:bidi w:val="0"/>
        <w:adjustRightInd/>
        <w:snapToGrid/>
        <w:spacing w:before="0" w:line="400" w:lineRule="exact"/>
        <w:ind w:left="0"/>
        <w:textAlignment w:val="auto"/>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1.所有申请机构均需提交基础申报材料。</w:t>
      </w:r>
    </w:p>
    <w:p>
      <w:pPr>
        <w:pStyle w:val="12"/>
        <w:keepNext w:val="0"/>
        <w:keepLines w:val="0"/>
        <w:pageBreakBefore w:val="0"/>
        <w:widowControl w:val="0"/>
        <w:kinsoku/>
        <w:wordWrap/>
        <w:overflowPunct/>
        <w:topLinePunct w:val="0"/>
        <w:autoSpaceDE w:val="0"/>
        <w:autoSpaceDN w:val="0"/>
        <w:bidi w:val="0"/>
        <w:adjustRightInd/>
        <w:snapToGrid/>
        <w:spacing w:before="0" w:line="400" w:lineRule="exact"/>
        <w:ind w:left="0"/>
        <w:textAlignment w:val="auto"/>
        <w:rPr>
          <w:rFonts w:hint="eastAsia" w:ascii="Calibri" w:hAnsi="仿宋" w:eastAsia="宋体" w:cs="Times New Roman"/>
          <w:kern w:val="0"/>
          <w:sz w:val="24"/>
          <w:szCs w:val="24"/>
          <w:lang w:val="en-US" w:eastAsia="zh-CN" w:bidi="ar-SA"/>
        </w:rPr>
      </w:pPr>
      <w:r>
        <w:rPr>
          <w:rFonts w:hint="default" w:ascii="Calibri" w:hAnsi="仿宋" w:cs="Times New Roman"/>
          <w:kern w:val="0"/>
          <w:sz w:val="24"/>
          <w:szCs w:val="24"/>
          <w:lang w:eastAsia="zh-CN" w:bidi="ar-SA"/>
        </w:rPr>
        <w:t>2</w:t>
      </w:r>
      <w:r>
        <w:rPr>
          <w:rFonts w:hint="eastAsia" w:ascii="Calibri" w:hAnsi="仿宋" w:eastAsia="宋体" w:cs="Times New Roman"/>
          <w:kern w:val="0"/>
          <w:sz w:val="24"/>
          <w:szCs w:val="24"/>
          <w:lang w:val="en-US" w:eastAsia="zh-CN" w:bidi="ar-SA"/>
        </w:rPr>
        <w:t>.前海管理局有权视需要查验申报文件原件。</w:t>
      </w:r>
    </w:p>
    <w:p>
      <w:pPr>
        <w:pStyle w:val="12"/>
        <w:keepNext w:val="0"/>
        <w:keepLines w:val="0"/>
        <w:pageBreakBefore w:val="0"/>
        <w:widowControl w:val="0"/>
        <w:kinsoku/>
        <w:wordWrap/>
        <w:overflowPunct/>
        <w:topLinePunct w:val="0"/>
        <w:autoSpaceDE w:val="0"/>
        <w:autoSpaceDN w:val="0"/>
        <w:bidi w:val="0"/>
        <w:adjustRightInd/>
        <w:snapToGrid/>
        <w:spacing w:before="0" w:line="400" w:lineRule="exact"/>
        <w:ind w:left="0"/>
        <w:textAlignment w:val="auto"/>
        <w:rPr>
          <w:rFonts w:hint="eastAsia" w:ascii="Calibri" w:hAnsi="仿宋" w:eastAsia="宋体" w:cs="Times New Roman"/>
          <w:kern w:val="0"/>
          <w:sz w:val="24"/>
          <w:szCs w:val="24"/>
          <w:lang w:val="en-US" w:eastAsia="zh-CN" w:bidi="ar-SA"/>
        </w:rPr>
      </w:pPr>
      <w:r>
        <w:rPr>
          <w:rFonts w:hint="default" w:ascii="Calibri" w:hAnsi="仿宋" w:cs="Times New Roman"/>
          <w:kern w:val="0"/>
          <w:sz w:val="24"/>
          <w:szCs w:val="24"/>
          <w:lang w:eastAsia="zh-CN" w:bidi="ar-SA"/>
        </w:rPr>
        <w:t>3</w:t>
      </w:r>
      <w:r>
        <w:rPr>
          <w:rFonts w:hint="eastAsia" w:ascii="Calibri" w:hAnsi="仿宋" w:eastAsia="宋体" w:cs="Times New Roman"/>
          <w:kern w:val="0"/>
          <w:sz w:val="24"/>
          <w:szCs w:val="24"/>
          <w:lang w:val="en-US" w:eastAsia="zh-CN" w:bidi="ar-SA"/>
        </w:rPr>
        <w:t>.申报材料一式二份，A4纸正反面打印/复印后装订成册（胶装），编写目录并连续编写页码。</w:t>
      </w:r>
    </w:p>
    <w:p>
      <w:pPr>
        <w:pStyle w:val="12"/>
        <w:keepNext w:val="0"/>
        <w:keepLines w:val="0"/>
        <w:pageBreakBefore w:val="0"/>
        <w:widowControl w:val="0"/>
        <w:kinsoku/>
        <w:wordWrap/>
        <w:overflowPunct/>
        <w:topLinePunct w:val="0"/>
        <w:autoSpaceDE w:val="0"/>
        <w:autoSpaceDN w:val="0"/>
        <w:bidi w:val="0"/>
        <w:adjustRightInd/>
        <w:snapToGrid/>
        <w:spacing w:before="0" w:line="400" w:lineRule="exact"/>
        <w:ind w:left="0"/>
        <w:textAlignment w:val="auto"/>
        <w:rPr>
          <w:rFonts w:hint="eastAsia" w:ascii="Calibri" w:hAnsi="仿宋" w:eastAsia="宋体" w:cs="Times New Roman"/>
          <w:kern w:val="0"/>
          <w:sz w:val="24"/>
          <w:szCs w:val="24"/>
          <w:lang w:val="en-US" w:eastAsia="zh-CN" w:bidi="ar-SA"/>
        </w:rPr>
      </w:pPr>
      <w:r>
        <w:rPr>
          <w:rFonts w:hint="default" w:ascii="Calibri" w:hAnsi="仿宋" w:cs="Times New Roman"/>
          <w:kern w:val="0"/>
          <w:sz w:val="24"/>
          <w:szCs w:val="24"/>
          <w:lang w:eastAsia="zh-CN" w:bidi="ar-SA"/>
        </w:rPr>
        <w:t>4</w:t>
      </w:r>
      <w:r>
        <w:rPr>
          <w:rFonts w:hint="eastAsia" w:ascii="Calibri" w:hAnsi="仿宋" w:eastAsia="宋体" w:cs="Times New Roman"/>
          <w:kern w:val="0"/>
          <w:sz w:val="24"/>
          <w:szCs w:val="24"/>
          <w:lang w:val="en-US" w:eastAsia="zh-CN" w:bidi="ar-SA"/>
        </w:rPr>
        <w:t>.需提交纸质件及电子扫描件（刻录光盘，PDF格式，能够进行目录索引）。</w:t>
      </w:r>
    </w:p>
    <w:p>
      <w:pPr>
        <w:pStyle w:val="12"/>
        <w:keepNext w:val="0"/>
        <w:keepLines w:val="0"/>
        <w:pageBreakBefore w:val="0"/>
        <w:widowControl w:val="0"/>
        <w:kinsoku/>
        <w:wordWrap/>
        <w:overflowPunct/>
        <w:topLinePunct w:val="0"/>
        <w:autoSpaceDE w:val="0"/>
        <w:autoSpaceDN w:val="0"/>
        <w:bidi w:val="0"/>
        <w:adjustRightInd/>
        <w:snapToGrid/>
        <w:spacing w:before="0" w:line="400" w:lineRule="exact"/>
        <w:ind w:left="0"/>
        <w:textAlignment w:val="auto"/>
        <w:rPr>
          <w:rFonts w:hint="eastAsia" w:ascii="Calibri" w:hAnsi="仿宋" w:eastAsia="宋体" w:cs="Times New Roman"/>
          <w:kern w:val="0"/>
          <w:sz w:val="24"/>
          <w:szCs w:val="24"/>
          <w:lang w:val="en-US" w:eastAsia="zh-CN" w:bidi="ar-SA"/>
        </w:rPr>
      </w:pPr>
      <w:r>
        <w:rPr>
          <w:rFonts w:hint="default" w:ascii="Calibri" w:hAnsi="仿宋" w:cs="Times New Roman"/>
          <w:kern w:val="0"/>
          <w:sz w:val="24"/>
          <w:szCs w:val="24"/>
          <w:lang w:eastAsia="zh-CN" w:bidi="ar-SA"/>
        </w:rPr>
        <w:t>5</w:t>
      </w:r>
      <w:r>
        <w:rPr>
          <w:rFonts w:hint="eastAsia" w:ascii="Calibri" w:hAnsi="仿宋" w:eastAsia="宋体" w:cs="Times New Roman"/>
          <w:kern w:val="0"/>
          <w:sz w:val="24"/>
          <w:szCs w:val="24"/>
          <w:lang w:val="en-US" w:eastAsia="zh-CN" w:bidi="ar-SA"/>
        </w:rPr>
        <w:t>.申报材料均需加盖申报单位公章，</w:t>
      </w:r>
      <w:r>
        <w:rPr>
          <w:rFonts w:hint="default" w:ascii="Calibri" w:hAnsi="仿宋" w:cs="Times New Roman"/>
          <w:kern w:val="0"/>
          <w:sz w:val="24"/>
          <w:szCs w:val="24"/>
          <w:lang w:eastAsia="zh-CN" w:bidi="ar-SA"/>
        </w:rPr>
        <w:t>每份文件</w:t>
      </w:r>
      <w:r>
        <w:rPr>
          <w:rFonts w:hint="eastAsia" w:ascii="Calibri" w:hAnsi="仿宋" w:eastAsia="宋体" w:cs="Times New Roman"/>
          <w:kern w:val="0"/>
          <w:sz w:val="24"/>
          <w:szCs w:val="24"/>
          <w:lang w:val="en-US" w:eastAsia="zh-CN" w:bidi="ar-SA"/>
        </w:rPr>
        <w:t>多页的需加盖骑缝公章。</w:t>
      </w:r>
    </w:p>
    <w:p>
      <w:pPr>
        <w:pStyle w:val="3"/>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p>
    <w:pPr>
      <w:pStyle w:val="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EB4F74"/>
    <w:rsid w:val="1F5D06EE"/>
    <w:rsid w:val="23ED9072"/>
    <w:rsid w:val="3EDB1E0F"/>
    <w:rsid w:val="3FEF851D"/>
    <w:rsid w:val="4A1947CF"/>
    <w:rsid w:val="4FB7A516"/>
    <w:rsid w:val="565D8FB0"/>
    <w:rsid w:val="58FD3BCC"/>
    <w:rsid w:val="5A3FD2B8"/>
    <w:rsid w:val="5D5F1119"/>
    <w:rsid w:val="5FF66CA5"/>
    <w:rsid w:val="65FBB2F7"/>
    <w:rsid w:val="6B2111A1"/>
    <w:rsid w:val="6BC7929F"/>
    <w:rsid w:val="6DF35056"/>
    <w:rsid w:val="6EE59DC4"/>
    <w:rsid w:val="6EF7146A"/>
    <w:rsid w:val="6FFBBF9E"/>
    <w:rsid w:val="73A4A68A"/>
    <w:rsid w:val="73FFF852"/>
    <w:rsid w:val="74F9203A"/>
    <w:rsid w:val="75F94109"/>
    <w:rsid w:val="76658758"/>
    <w:rsid w:val="76D94B34"/>
    <w:rsid w:val="77BBD473"/>
    <w:rsid w:val="77FD7CF4"/>
    <w:rsid w:val="79FB6CB1"/>
    <w:rsid w:val="7A5C1440"/>
    <w:rsid w:val="7BD3249B"/>
    <w:rsid w:val="7BDF1A5E"/>
    <w:rsid w:val="7C777A06"/>
    <w:rsid w:val="7CFCBA61"/>
    <w:rsid w:val="7FBD1CD4"/>
    <w:rsid w:val="7FF775A7"/>
    <w:rsid w:val="7FFF490D"/>
    <w:rsid w:val="7FFF792B"/>
    <w:rsid w:val="8EBFD322"/>
    <w:rsid w:val="9777B933"/>
    <w:rsid w:val="97EAEDDC"/>
    <w:rsid w:val="B58DCC53"/>
    <w:rsid w:val="B6770394"/>
    <w:rsid w:val="B7D31C36"/>
    <w:rsid w:val="BD3FE6FF"/>
    <w:rsid w:val="BEFE1AF2"/>
    <w:rsid w:val="BFED8246"/>
    <w:rsid w:val="C9FF3B22"/>
    <w:rsid w:val="CDFF8DDD"/>
    <w:rsid w:val="D4BF00D7"/>
    <w:rsid w:val="D4FC3ABE"/>
    <w:rsid w:val="DCC5E2EE"/>
    <w:rsid w:val="DD7B668A"/>
    <w:rsid w:val="E7BEB217"/>
    <w:rsid w:val="E7FD586F"/>
    <w:rsid w:val="EFFF5D2C"/>
    <w:rsid w:val="F4FB20B1"/>
    <w:rsid w:val="F5FFD67B"/>
    <w:rsid w:val="F7BB7D0F"/>
    <w:rsid w:val="FADDF1C7"/>
    <w:rsid w:val="FAFF084A"/>
    <w:rsid w:val="FAFF5C65"/>
    <w:rsid w:val="FB5F3BAC"/>
    <w:rsid w:val="FBBDF3CD"/>
    <w:rsid w:val="FBEF74F3"/>
    <w:rsid w:val="FBFF6B09"/>
    <w:rsid w:val="FDF3CAE3"/>
    <w:rsid w:val="FE7B939D"/>
    <w:rsid w:val="FECC1A5F"/>
    <w:rsid w:val="FEFD1E1E"/>
    <w:rsid w:val="FF7F4335"/>
    <w:rsid w:val="FFAC486B"/>
    <w:rsid w:val="FFDC9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paragraph" w:customStyle="1" w:styleId="11">
    <w:name w:val="updatec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Table Paragraph"/>
    <w:basedOn w:val="1"/>
    <w:qFormat/>
    <w:uiPriority w:val="1"/>
    <w:pPr>
      <w:autoSpaceDE w:val="0"/>
      <w:autoSpaceDN w:val="0"/>
      <w:spacing w:before="71" w:line="299" w:lineRule="exact"/>
      <w:ind w:left="117"/>
      <w:jc w:val="left"/>
    </w:pPr>
    <w:rPr>
      <w:rFonts w:ascii="宋体" w:hAnsi="宋体" w:eastAsia="宋体" w:cs="宋体"/>
      <w:kern w:val="0"/>
      <w:sz w:val="22"/>
      <w:lang w:val="zh-CN" w:bidi="zh-CN"/>
    </w:rPr>
  </w:style>
  <w:style w:type="table" w:customStyle="1" w:styleId="1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赵娇</cp:lastModifiedBy>
  <dcterms:modified xsi:type="dcterms:W3CDTF">2021-11-21T15:25:07Z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46D7E535492A493FB36E6F17B35DC00B</vt:lpwstr>
  </property>
</Properties>
</file>