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5" w:lineRule="auto" w:before="76" w:after="4"/>
        <w:ind w:left="3902" w:right="214"/>
      </w:pPr>
      <w:r>
        <w:rPr/>
        <w:t>深圳市福田区稳企惠民“十条”政策复工复产技能培训支持第二、三、四批企</w:t>
      </w:r>
      <w:r>
        <w:rPr>
          <w:w w:val="105"/>
        </w:rPr>
        <w:t>业及项目汇总表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4003"/>
        <w:gridCol w:w="2779"/>
        <w:gridCol w:w="1555"/>
      </w:tblGrid>
      <w:tr>
        <w:trPr>
          <w:trHeight w:val="244" w:hRule="atLeast"/>
        </w:trPr>
        <w:tc>
          <w:tcPr>
            <w:tcW w:w="1166" w:type="dxa"/>
          </w:tcPr>
          <w:p>
            <w:pPr>
              <w:pStyle w:val="TableParagraph"/>
              <w:spacing w:line="224" w:lineRule="exact" w:before="0"/>
              <w:ind w:left="362" w:right="349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序号</w:t>
            </w:r>
          </w:p>
        </w:tc>
        <w:tc>
          <w:tcPr>
            <w:tcW w:w="4003" w:type="dxa"/>
          </w:tcPr>
          <w:p>
            <w:pPr>
              <w:pStyle w:val="TableParagraph"/>
              <w:spacing w:line="224" w:lineRule="exact" w:before="0"/>
              <w:ind w:left="13" w:right="13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w w:val="95"/>
                <w:sz w:val="20"/>
              </w:rPr>
              <w:t>企业名称</w:t>
            </w:r>
          </w:p>
        </w:tc>
        <w:tc>
          <w:tcPr>
            <w:tcW w:w="2779" w:type="dxa"/>
          </w:tcPr>
          <w:p>
            <w:pPr>
              <w:pStyle w:val="TableParagraph"/>
              <w:spacing w:line="224" w:lineRule="exact" w:before="0"/>
              <w:ind w:left="418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项目</w:t>
            </w:r>
          </w:p>
        </w:tc>
        <w:tc>
          <w:tcPr>
            <w:tcW w:w="1555" w:type="dxa"/>
          </w:tcPr>
          <w:p>
            <w:pPr>
              <w:pStyle w:val="TableParagraph"/>
              <w:spacing w:line="224" w:lineRule="exact" w:before="0"/>
              <w:ind w:left="451" w:right="451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z w:val="20"/>
              </w:rPr>
              <w:t>批次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中通信息服务有限公司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深圳市天行道文化传播有限公司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深圳岁宝连锁商业发展有限公司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银雁科技服务集团股份有限公司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深圳市众工装饰消防工程有限公司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睿昇电子科技（深圳）</w:t>
            </w:r>
            <w:r>
              <w:rPr>
                <w:spacing w:val="-3"/>
                <w:sz w:val="22"/>
              </w:rPr>
              <w:t>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深圳市威大医疗系统工程有限公司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深圳市德丽斯酒店管理有限公司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27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深圳市深泰建设工程有限公司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深圳健安医药有限公司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深圳市坐标建筑装饰工程股份有限公司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深圳市新大洲酒店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深圳市泛华工程集团有限公司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深圳市金众资产管理有限公司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深圳市汉庭世纪酒店管理有限公司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深圳市荷域私宴餐饮管理有限公司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深圳市君之安物业管理有限公司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18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深圳市天讯龙软件技术有限公司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深圳市金众物业管理有限公司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深圳市绿景物业管理有限公司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深圳市精萃电子有限公司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深圳雁扬科技服务有限公司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深圳市国汇大酒店有限公司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深圳市万博源文化发展有限公司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深圳市思博创科技有限公司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深圳市建筑装饰（集团）</w:t>
            </w:r>
            <w:r>
              <w:rPr>
                <w:spacing w:val="-3"/>
                <w:sz w:val="22"/>
              </w:rPr>
              <w:t>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深圳市天源环境技术有限公司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深圳市喜登达电子有限公司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深圳市嘟嘟牛科技有限公司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深圳新艺华建筑装饰工程有限公司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深圳市东方棕泉餐饮管理有限公司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深圳银广厦装饰集团有限公司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深圳市鄱湖渔家餐饮管理发展有限公司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深圳市荣翔建筑工程有限公司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深圳市中讯天成科技有限公司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深圳大晟建设集团有限公司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第二批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深圳市飞函国际物流有限公司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深圳市雅庭精品酒店管理有限公司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深圳市尚美建设控股集团有限公司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深圳市尚美基建管理有限公司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深圳市碧园环保技术有限公司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深圳市中农易讯信息技术有限公司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深圳市宜嘉发展有限公司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深圳市银雁人力资源服务有限公司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深圳市雁联技术服务有限公司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深圳人大干部培训中心有限公司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深圳市易行网交通科技有限公司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深圳联金物业服务有限公司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深圳中海世纪建筑设计有限公司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深圳市世纪通供应链股份有限公司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4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广东深望达建材科技工程有限公司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深圳市我要模材科技有限公司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4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深圳市新元特钢有限公司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479" w:right="451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299" w:top="500" w:bottom="480" w:left="980" w:right="118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4003"/>
        <w:gridCol w:w="2779"/>
        <w:gridCol w:w="1555"/>
      </w:tblGrid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深圳市美力高集团有限公司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深圳市朗形数字科技有限公司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深圳市雅为世纪科技有限公司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深圳艾意特电子技术有限公司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深圳市迩立信息科技有限公司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深圳市嘉捷和建材有限公司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深圳市神飞致远技术有限公司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深圳市西冠贸易有限公司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深圳市百惠餐饮管理有限公司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深圳市立诚信贸易有限公司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深圳市福田瑞鹏宠物医院有限公司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深圳市瑞鹏宠物医院有限公司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深圳价值在线信息科技股份有限公司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深圳市深蓝塑胶化工有限公司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深圳市安聚富化工有限公司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深圳市雁联计算系统有限公司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深圳市大阳实业发展有限公司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深圳市斯为美汽车运输有限公司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深圳市中农网有限公司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深圳市银雁金融服务有限公司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深圳市昆商易糖供应链有限公司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深圳荣格广告有限公司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深圳市公路客货运输服务中心有限公司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深圳市精工伟业机电工程有限公司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深圳和田建设集团有限公司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广东来艾健康科技有限公司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深圳市竹寓公寓酒店管理有限公司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中正道和建设集团有限公司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深圳市和顺堂医疗机构投资有限公司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深圳市臻美生活科技有限公司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深圳市大综艺房地产开发有限公司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深圳市极信智联科技有限公司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第三批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深圳市新扬供应链有限公司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深圳市新洲城物业管理有限公司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-51" w:right="-72"/>
              <w:rPr>
                <w:sz w:val="22"/>
              </w:rPr>
            </w:pPr>
            <w:r>
              <w:rPr>
                <w:spacing w:val="-5"/>
                <w:sz w:val="22"/>
              </w:rPr>
              <w:t>盈合（深圳）机器人与自动化科技有限公司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深圳市骑士伟业供应链有限公司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信安技术（中国）</w:t>
            </w:r>
            <w:r>
              <w:rPr>
                <w:spacing w:val="-3"/>
                <w:sz w:val="22"/>
              </w:rPr>
              <w:t>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深圳市三木希色服饰有限公司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-51" w:right="-72"/>
              <w:rPr>
                <w:sz w:val="22"/>
              </w:rPr>
            </w:pPr>
            <w:r>
              <w:rPr>
                <w:spacing w:val="-5"/>
                <w:sz w:val="22"/>
              </w:rPr>
              <w:t>深圳市华图会计师事务所（特殊普通合伙</w:t>
            </w:r>
            <w:r>
              <w:rPr>
                <w:spacing w:val="-4"/>
                <w:sz w:val="22"/>
              </w:rPr>
              <w:t>）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2"/>
              <w:rPr>
                <w:sz w:val="22"/>
              </w:rPr>
            </w:pPr>
            <w:r>
              <w:rPr>
                <w:w w:val="95"/>
                <w:sz w:val="22"/>
              </w:rPr>
              <w:t>东港实业发展</w:t>
            </w:r>
            <w:r>
              <w:rPr>
                <w:w w:val="85"/>
                <w:sz w:val="22"/>
              </w:rPr>
              <w:t>(</w:t>
            </w:r>
            <w:r>
              <w:rPr>
                <w:w w:val="95"/>
                <w:sz w:val="22"/>
              </w:rPr>
              <w:t>深圳</w:t>
            </w:r>
            <w:r>
              <w:rPr>
                <w:w w:val="85"/>
                <w:sz w:val="22"/>
              </w:rPr>
              <w:t>)</w:t>
            </w:r>
            <w:r>
              <w:rPr>
                <w:w w:val="95"/>
                <w:sz w:val="22"/>
              </w:rPr>
              <w:t>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深圳市易安纳科技有限公司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深圳市好伙计科技有限公司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深圳市伟洲金属材料有限公司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深圳市华富康供应链股份有限公司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糯家（深圳）信息科技有限公司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82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深圳市华筑工程设计有限公司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深圳市深芯扬电子有限公司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深圳市永利实业发展有限公司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深圳市协诚通工贸发展有限公司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深圳市道隧建设有限公司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深圳市锦粤达科技有限公司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深圳市爱伦特科技有限公司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深圳市聚友盟贸易有限公司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深圳市海川广告有限公司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深圳市特发政务服务有限公司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深圳市特发口岸服务有限公司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438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深圳市华富强科技有限公司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0" w:footer="299" w:top="500" w:bottom="480" w:left="980" w:right="118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4003"/>
        <w:gridCol w:w="2779"/>
        <w:gridCol w:w="1555"/>
      </w:tblGrid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深圳市楷腾建业有限公司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深圳市茂迪机电设备有限公司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深圳通锐微电子技术有限公司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深圳智中行国际物流有限公司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35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深圳市合兴达纺织品有限公司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中汇信达（深圳）税务师事务所有限公司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深圳东海会计师事务所（特殊普通合伙</w:t>
            </w:r>
            <w:r>
              <w:rPr>
                <w:spacing w:val="-3"/>
                <w:sz w:val="22"/>
              </w:rPr>
              <w:t>）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line="237" w:lineRule="exact"/>
              <w:ind w:left="362" w:right="335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46" w:right="13"/>
              <w:rPr>
                <w:sz w:val="22"/>
              </w:rPr>
            </w:pPr>
            <w:r>
              <w:rPr>
                <w:spacing w:val="-4"/>
                <w:sz w:val="22"/>
              </w:rPr>
              <w:t>矩阵纵横设计股份有限公司</w:t>
            </w:r>
          </w:p>
        </w:tc>
        <w:tc>
          <w:tcPr>
            <w:tcW w:w="2779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exact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ind w:left="362" w:right="335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03" w:type="dxa"/>
          </w:tcPr>
          <w:p>
            <w:pPr>
              <w:pStyle w:val="TableParagraph"/>
              <w:spacing w:line="239" w:lineRule="exact" w:before="0"/>
              <w:ind w:left="32" w:right="13"/>
              <w:rPr>
                <w:sz w:val="22"/>
              </w:rPr>
            </w:pPr>
            <w:r>
              <w:rPr>
                <w:spacing w:val="-4"/>
                <w:sz w:val="22"/>
              </w:rPr>
              <w:t>商巢互联网技术有限公司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复工复产技能培训支持</w:t>
            </w:r>
          </w:p>
        </w:tc>
        <w:tc>
          <w:tcPr>
            <w:tcW w:w="1555" w:type="dxa"/>
          </w:tcPr>
          <w:p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第四批</w:t>
            </w:r>
          </w:p>
        </w:tc>
      </w:tr>
    </w:tbl>
    <w:sectPr>
      <w:pgSz w:w="11900" w:h="16840"/>
      <w:pgMar w:header="0" w:footer="299" w:top="500" w:bottom="480" w:left="9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3.899994pt;margin-top:812.0625pt;width:90.4pt;height:15.4pt;mso-position-horizontal-relative:page;mso-position-vertical-relative:page;z-index:-16485376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pacing w:val="-29"/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3"/>
                    <w:sz w:val="24"/>
                  </w:rPr>
                  <w:t> 页，共 </w:t>
                </w:r>
                <w:r>
                  <w:rPr>
                    <w:sz w:val="24"/>
                  </w:rPr>
                  <w:t>3</w:t>
                </w:r>
                <w:r>
                  <w:rPr>
                    <w:spacing w:val="-26"/>
                    <w:sz w:val="24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hanging="3701"/>
    </w:pPr>
    <w:rPr>
      <w:rFonts w:ascii="Microsoft YaHei UI" w:hAnsi="Microsoft YaHei UI" w:eastAsia="Microsoft YaHei UI" w:cs="Microsoft YaHei UI"/>
      <w:b/>
      <w:bCs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2" w:line="236" w:lineRule="exact"/>
      <w:ind w:left="420" w:right="404"/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2022-10-19T06:09:38Z</dcterms:created>
  <dcterms:modified xsi:type="dcterms:W3CDTF">2022-10-19T06:09:38Z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2022-10-19T00:00:00Z</vt:filetime>
  </property>
</Properties>
</file>