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bookmarkStart w:id="0" w:name="_GoBack"/>
      <w:bookmarkEnd w:id="0"/>
      <w:r>
        <w:rPr>
          <w:rFonts w:hint="eastAsia" w:ascii="方正小标宋简体" w:hAnsi="方正小标宋简体" w:eastAsia="方正小标宋简体" w:cs="方正小标宋简体"/>
          <w:color w:val="auto"/>
          <w:sz w:val="44"/>
          <w:szCs w:val="44"/>
          <w:highlight w:val="none"/>
          <w:lang w:val="en-US" w:eastAsia="zh-CN"/>
        </w:rPr>
        <w:t>商贸企业做大做强（批发业、零售业、餐饮业企业）项目申报指南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推动批发企业积极加强产销对接、优化商贸网络，对销售情况良好的批发企业给予一定奖励。2022年下半年，对销售额大于等于10亿元且同比实现增长的批发企业，按增长部分的万分之五予以扶持，单家企业2022年下半年通过该政策累计奖励不超过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鼓励零售企业升级消费设施、拓展零售场景，对零售情况良好的零售企业给予一定奖励。2022年下半年，企业销售额较去年同期每增加100万元，奖励0.5万元，最高20万元。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支持餐饮企业开发网上营销、中央厨房及餐饮配送等产业升级配套设施，对营业情况良好的餐饮企业给予一定奖励。2022年下半年，企业营业额较去年同期每增加100万元，奖励1万元，最高20万元。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《盐田区发展和改革局关于印发〈盐田区关于2022年下半年扎实稳住经济增长的若干措施〉的通知》(深盐发改〔2022〕13号)。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是具有独立法人资格、并于</w:t>
      </w:r>
      <w:r>
        <w:rPr>
          <w:rFonts w:hint="eastAsia" w:ascii="仿宋_GB2312" w:hAnsi="仿宋_GB2312" w:eastAsia="仿宋_GB2312" w:cs="仿宋_GB2312"/>
          <w:color w:val="auto"/>
          <w:kern w:val="0"/>
          <w:sz w:val="32"/>
          <w:szCs w:val="32"/>
          <w:highlight w:val="none"/>
          <w:lang w:val="en-US" w:eastAsia="zh-CN" w:bidi="ar"/>
        </w:rPr>
        <w:t>2021年12月31日前</w:t>
      </w:r>
      <w:r>
        <w:rPr>
          <w:rFonts w:hint="eastAsia" w:ascii="仿宋_GB2312" w:hAnsi="仿宋_GB2312" w:eastAsia="仿宋_GB2312" w:cs="仿宋_GB2312"/>
          <w:color w:val="auto"/>
          <w:kern w:val="0"/>
          <w:sz w:val="32"/>
          <w:szCs w:val="32"/>
          <w:highlight w:val="none"/>
          <w:lang w:bidi="ar"/>
        </w:rPr>
        <w:t>在</w:t>
      </w:r>
      <w:r>
        <w:rPr>
          <w:rFonts w:hint="eastAsia" w:ascii="仿宋_GB2312" w:hAnsi="仿宋_GB2312" w:eastAsia="仿宋_GB2312" w:cs="仿宋_GB2312"/>
          <w:color w:val="auto"/>
          <w:kern w:val="0"/>
          <w:sz w:val="32"/>
          <w:szCs w:val="32"/>
          <w:highlight w:val="none"/>
          <w:lang w:eastAsia="zh-CN" w:bidi="ar"/>
        </w:rPr>
        <w:t>盐田</w:t>
      </w:r>
      <w:r>
        <w:rPr>
          <w:rFonts w:hint="eastAsia" w:ascii="仿宋_GB2312" w:hAnsi="仿宋_GB2312" w:eastAsia="仿宋_GB2312" w:cs="仿宋_GB2312"/>
          <w:color w:val="auto"/>
          <w:kern w:val="0"/>
          <w:sz w:val="32"/>
          <w:szCs w:val="32"/>
          <w:highlight w:val="none"/>
          <w:lang w:bidi="ar"/>
        </w:rPr>
        <w:t>区注册</w:t>
      </w:r>
      <w:r>
        <w:rPr>
          <w:rFonts w:hint="eastAsia" w:ascii="仿宋_GB2312" w:hAnsi="仿宋_GB2312" w:eastAsia="仿宋_GB2312" w:cs="仿宋_GB2312"/>
          <w:color w:val="auto"/>
          <w:kern w:val="0"/>
          <w:sz w:val="32"/>
          <w:szCs w:val="32"/>
          <w:highlight w:val="none"/>
          <w:lang w:eastAsia="zh-CN" w:bidi="ar"/>
        </w:rPr>
        <w:t>、且于</w:t>
      </w:r>
      <w:r>
        <w:rPr>
          <w:rFonts w:hint="eastAsia" w:ascii="仿宋_GB2312" w:hAnsi="仿宋_GB2312" w:eastAsia="仿宋_GB2312" w:cs="仿宋_GB2312"/>
          <w:color w:val="auto"/>
          <w:kern w:val="0"/>
          <w:sz w:val="32"/>
          <w:szCs w:val="32"/>
          <w:highlight w:val="none"/>
          <w:u w:val="none"/>
          <w:lang w:val="en-US" w:eastAsia="zh-CN"/>
        </w:rPr>
        <w:t>2022年6月30日前实现纳统并依法、按时向统计部门报送经营数据的限上批发业、零售业、餐饮业企业。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US" w:eastAsia="zh-CN"/>
        </w:rPr>
        <w:t>为批发业企业的，需实现2022年7-12月企业销售额</w:t>
      </w:r>
      <w:r>
        <w:rPr>
          <w:rFonts w:hint="eastAsia" w:ascii="仿宋_GB2312" w:hAnsi="仿宋_GB2312" w:eastAsia="仿宋_GB2312" w:cs="仿宋_GB2312"/>
          <w:color w:val="auto"/>
          <w:sz w:val="32"/>
          <w:szCs w:val="32"/>
          <w:highlight w:val="none"/>
          <w:lang w:val="en-US" w:eastAsia="zh-CN"/>
        </w:rPr>
        <w:t>大于等于10亿元且同比实现增长</w:t>
      </w:r>
      <w:r>
        <w:rPr>
          <w:rFonts w:hint="eastAsia" w:ascii="仿宋_GB2312" w:hAnsi="仿宋_GB2312" w:eastAsia="仿宋_GB2312" w:cs="仿宋_GB2312"/>
          <w:color w:val="auto"/>
          <w:kern w:val="0"/>
          <w:sz w:val="32"/>
          <w:szCs w:val="32"/>
          <w:highlight w:val="none"/>
          <w:u w:val="none"/>
          <w:lang w:val="en-US" w:eastAsia="zh-CN"/>
        </w:rPr>
        <w:t>；</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US" w:eastAsia="zh-CN"/>
        </w:rPr>
        <w:t>为零售业企业的，需实现2022年7-12月企业销售额较去年同期增</w:t>
      </w:r>
      <w:r>
        <w:rPr>
          <w:rFonts w:hint="eastAsia" w:ascii="仿宋_GB2312" w:hAnsi="仿宋_GB2312" w:eastAsia="仿宋_GB2312" w:cs="仿宋_GB2312"/>
          <w:color w:val="auto"/>
          <w:sz w:val="32"/>
          <w:szCs w:val="32"/>
          <w:highlight w:val="none"/>
          <w:lang w:val="en-US" w:eastAsia="zh-CN"/>
        </w:rPr>
        <w:t>加</w:t>
      </w:r>
      <w:r>
        <w:rPr>
          <w:rFonts w:hint="eastAsia" w:ascii="仿宋_GB2312" w:hAnsi="仿宋_GB2312" w:eastAsia="仿宋_GB2312" w:cs="仿宋_GB2312"/>
          <w:color w:val="auto"/>
          <w:kern w:val="0"/>
          <w:sz w:val="32"/>
          <w:szCs w:val="32"/>
          <w:highlight w:val="none"/>
          <w:u w:val="none"/>
          <w:lang w:val="en-US" w:eastAsia="zh-CN"/>
        </w:rPr>
        <w:t>100万元或以上；</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US" w:eastAsia="zh-CN"/>
        </w:rPr>
        <w:t>为餐饮业企业的，需实现2022年7-12月企业营业额较去年同期增</w:t>
      </w:r>
      <w:r>
        <w:rPr>
          <w:rFonts w:hint="eastAsia" w:ascii="仿宋_GB2312" w:hAnsi="仿宋_GB2312" w:eastAsia="仿宋_GB2312" w:cs="仿宋_GB2312"/>
          <w:color w:val="auto"/>
          <w:sz w:val="32"/>
          <w:szCs w:val="32"/>
          <w:highlight w:val="none"/>
          <w:lang w:val="en-US" w:eastAsia="zh-CN"/>
        </w:rPr>
        <w:t>加</w:t>
      </w:r>
      <w:r>
        <w:rPr>
          <w:rFonts w:hint="eastAsia" w:ascii="仿宋_GB2312" w:hAnsi="仿宋_GB2312" w:eastAsia="仿宋_GB2312" w:cs="仿宋_GB2312"/>
          <w:color w:val="auto"/>
          <w:kern w:val="0"/>
          <w:sz w:val="32"/>
          <w:szCs w:val="32"/>
          <w:highlight w:val="none"/>
          <w:u w:val="none"/>
          <w:lang w:val="en-US" w:eastAsia="zh-CN"/>
        </w:rPr>
        <w:t>100万元或以上。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（一）商贸企业做大做强（批发业、零售业、餐饮业企业）项目申请书原件（签字、盖公章）（详见附件3-3）。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kern w:val="0"/>
          <w:sz w:val="32"/>
          <w:szCs w:val="32"/>
          <w:highlight w:val="none"/>
          <w:u w:val="none"/>
          <w:lang w:eastAsia="zh-CN"/>
        </w:rPr>
        <w:t>法定代表人身份证复印件（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签字或盖章），或委托书原件及代理人身份证复印件（</w:t>
      </w:r>
      <w:r>
        <w:rPr>
          <w:rFonts w:hint="eastAsia" w:ascii="仿宋_GB2312" w:hAnsi="仿宋_GB2312" w:eastAsia="仿宋_GB2312" w:cs="仿宋_GB2312"/>
          <w:b w:val="0"/>
          <w:bCs w:val="0"/>
          <w:color w:val="auto"/>
          <w:kern w:val="0"/>
          <w:sz w:val="32"/>
          <w:szCs w:val="32"/>
          <w:highlight w:val="none"/>
          <w:u w:val="none"/>
          <w:lang w:val="en-US" w:eastAsia="zh-CN" w:bidi="ar-SA"/>
        </w:rPr>
        <w:t>身份证本人</w:t>
      </w:r>
      <w:r>
        <w:rPr>
          <w:rFonts w:hint="eastAsia" w:ascii="仿宋_GB2312" w:hAnsi="仿宋_GB2312" w:eastAsia="仿宋_GB2312" w:cs="仿宋_GB2312"/>
          <w:color w:val="auto"/>
          <w:kern w:val="0"/>
          <w:sz w:val="32"/>
          <w:szCs w:val="32"/>
          <w:highlight w:val="none"/>
          <w:u w:val="none"/>
          <w:lang w:eastAsia="zh-CN"/>
        </w:rPr>
        <w:t>签字或盖章）。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申报主体达到奖励标准的证明材料原件</w:t>
      </w:r>
      <w:r>
        <w:rPr>
          <w:rFonts w:hint="eastAsia" w:ascii="仿宋_GB2312" w:hAnsi="仿宋_GB2312" w:eastAsia="仿宋_GB2312" w:cs="仿宋_GB2312"/>
          <w:color w:val="auto"/>
          <w:sz w:val="32"/>
          <w:szCs w:val="32"/>
          <w:highlight w:val="none"/>
          <w:lang w:val="en-US" w:eastAsia="zh-CN"/>
        </w:rPr>
        <w:t>（盖公章），其中：批发业、零售业企业在</w:t>
      </w:r>
      <w:r>
        <w:rPr>
          <w:rFonts w:hint="eastAsia" w:ascii="仿宋_GB2312" w:hAnsi="仿宋_GB2312" w:eastAsia="仿宋_GB2312" w:cs="仿宋_GB2312"/>
          <w:sz w:val="32"/>
          <w:szCs w:val="32"/>
          <w:highlight w:val="none"/>
          <w:lang w:val="en-US" w:eastAsia="zh-CN"/>
        </w:rPr>
        <w:t>“统计联网直报平台”查询打印2021年1-6月、2021年1-12月、2022年1-6月、2022年1-12月销售额（含税）；餐饮业企业</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sz w:val="32"/>
          <w:szCs w:val="32"/>
          <w:highlight w:val="none"/>
          <w:lang w:val="en-US" w:eastAsia="zh-CN"/>
        </w:rPr>
        <w:t>“统计联网直报平台”查询打印2021年1-6月、2021年1-12月、2022年1-6月、2022年1-12月营业额（含税）</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（二）受理时间：受理时间：</w:t>
      </w:r>
      <w:r>
        <w:rPr>
          <w:rFonts w:hint="eastAsia" w:ascii="仿宋_GB2312" w:hAnsi="仿宋_GB2312" w:eastAsia="仿宋_GB2312" w:cs="仿宋_GB2312"/>
          <w:kern w:val="0"/>
          <w:sz w:val="32"/>
          <w:szCs w:val="32"/>
          <w:lang w:val="en-US" w:eastAsia="zh-CN" w:bidi="ar"/>
        </w:rPr>
        <w:t>2023年2月27日-2023年3月17日；工作日上午9：00时-12：00时，工作日下午14：00时-18：00时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5wLxc7QBAABSAwAADgAAAAAAAAABACAAAAA0AQAAZHJzL2Uyb0Rv&#10;Yy54bWxQSwUGAAAAAAYABgBZAQAAWg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6E7FE72A"/>
    <w:rsid w:val="77BDEEC4"/>
    <w:rsid w:val="7FAD5205"/>
    <w:rsid w:val="8EB6A1CB"/>
    <w:rsid w:val="9566E68F"/>
    <w:rsid w:val="AD5C5F38"/>
    <w:rsid w:val="AFBB7A9A"/>
    <w:rsid w:val="BF9FC98C"/>
    <w:rsid w:val="E6FED328"/>
    <w:rsid w:val="ECBF2219"/>
    <w:rsid w:val="EFFD88E4"/>
    <w:rsid w:val="F3F18F3F"/>
    <w:rsid w:val="F5AFDA91"/>
    <w:rsid w:val="FFEB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yt</cp:lastModifiedBy>
  <dcterms:modified xsi:type="dcterms:W3CDTF">2023-02-22T17:39:47Z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