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default" w:ascii="方正小标宋简体" w:eastAsia="方正小标宋简体"/>
          <w:sz w:val="44"/>
          <w:szCs w:val="44"/>
        </w:rPr>
        <w:t>深圳市商务局</w:t>
      </w:r>
      <w:r>
        <w:rPr>
          <w:rFonts w:hint="eastAsia" w:ascii="方正小标宋简体" w:eastAsia="方正小标宋简体"/>
          <w:sz w:val="44"/>
          <w:szCs w:val="44"/>
          <w:highlight w:val="none"/>
          <w:lang w:val="en-US" w:eastAsia="zh-CN"/>
        </w:rPr>
        <w:t>2023年瞪羚品牌</w:t>
      </w:r>
      <w:r>
        <w:rPr>
          <w:rFonts w:hint="eastAsia" w:ascii="方正小标宋简体" w:eastAsia="方正小标宋简体"/>
          <w:sz w:val="44"/>
          <w:szCs w:val="44"/>
          <w:lang w:val="en-US" w:eastAsia="zh-CN"/>
        </w:rPr>
        <w:t>申报指引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、支持领域</w:t>
      </w:r>
    </w:p>
    <w:p>
      <w:pPr>
        <w:keepNext w:val="0"/>
        <w:keepLines w:val="0"/>
        <w:pageBreakBefore w:val="0"/>
        <w:widowControl w:val="0"/>
        <w:tabs>
          <w:tab w:val="left" w:pos="5227"/>
        </w:tabs>
        <w:kinsoku/>
        <w:wordWrap/>
        <w:overflowPunct/>
        <w:topLinePunct w:val="0"/>
        <w:autoSpaceDE/>
        <w:autoSpaceDN/>
        <w:bidi w:val="0"/>
        <w:adjustRightInd/>
        <w:spacing w:line="560" w:lineRule="exact"/>
        <w:ind w:firstLine="630"/>
        <w:textAlignment w:val="auto"/>
        <w:rPr>
          <w:rFonts w:hint="eastAsia" w:ascii="仿宋_GB2312" w:eastAsia="仿宋_GB2312"/>
          <w:sz w:val="32"/>
          <w:szCs w:val="32"/>
          <w:lang w:eastAsia="zh-CN"/>
        </w:rPr>
      </w:pPr>
      <w:r>
        <w:rPr>
          <w:rStyle w:val="13"/>
          <w:rFonts w:hint="eastAsia" w:ascii="仿宋_GB2312" w:hAnsi="仿宋_GB2312" w:eastAsia="仿宋_GB2312"/>
          <w:sz w:val="32"/>
          <w:szCs w:val="32"/>
          <w:highlight w:val="none"/>
        </w:rPr>
        <w:t>为加快落实“品牌瞪羚计划”，扶持、培育一批深圳本土具备成长和发展潜力的消费品牌，进一步推动深圳国际消费中心城市建设，</w:t>
      </w:r>
      <w:r>
        <w:rPr>
          <w:rStyle w:val="13"/>
          <w:rFonts w:hint="eastAsia" w:ascii="仿宋_GB2312" w:hAnsi="仿宋_GB2312" w:eastAsia="仿宋_GB2312"/>
          <w:sz w:val="32"/>
          <w:szCs w:val="32"/>
          <w:highlight w:val="none"/>
          <w:lang w:eastAsia="zh-CN"/>
        </w:rPr>
        <w:t>开展本认定</w:t>
      </w:r>
      <w:r>
        <w:rPr>
          <w:rStyle w:val="13"/>
          <w:rFonts w:hint="eastAsia" w:ascii="仿宋_GB2312" w:hAnsi="仿宋_GB2312" w:eastAsia="仿宋_GB2312"/>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Style w:val="13"/>
          <w:rFonts w:ascii="仿宋_GB2312" w:hAnsi="仿宋_GB2312" w:eastAsia="仿宋_GB2312"/>
          <w:sz w:val="32"/>
          <w:szCs w:val="32"/>
          <w:highlight w:val="none"/>
        </w:rPr>
      </w:pPr>
      <w:r>
        <w:rPr>
          <w:rStyle w:val="13"/>
          <w:rFonts w:hint="eastAsia" w:ascii="仿宋_GB2312" w:hAnsi="仿宋_GB2312" w:eastAsia="仿宋_GB2312"/>
          <w:sz w:val="32"/>
          <w:szCs w:val="32"/>
          <w:highlight w:val="none"/>
        </w:rPr>
        <w:t>瞪羚品牌是指成功跨越初创期，具有较强品牌运营能力、市场影响力、管理能力和发展潜力的高成长性新兴消费品品牌。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、设定依据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3"/>
          <w:rFonts w:hint="eastAsia" w:ascii="仿宋_GB2312" w:hAnsi="仿宋_GB2312" w:eastAsia="仿宋_GB2312"/>
          <w:sz w:val="32"/>
          <w:szCs w:val="32"/>
          <w:highlight w:val="none"/>
        </w:rPr>
      </w:pPr>
      <w:r>
        <w:rPr>
          <w:rFonts w:hint="eastAsia" w:ascii="仿宋_GB2312" w:hAnsi="仿宋_GB2312" w:eastAsia="仿宋_GB2312" w:cs="仿宋_GB2312"/>
          <w:b w:val="0"/>
          <w:bCs w:val="0"/>
          <w:sz w:val="32"/>
          <w:szCs w:val="32"/>
          <w:lang w:val="en-US" w:eastAsia="zh-CN"/>
        </w:rPr>
        <w:t>1.</w:t>
      </w:r>
      <w:r>
        <w:rPr>
          <w:rStyle w:val="13"/>
          <w:rFonts w:hint="eastAsia" w:ascii="仿宋_GB2312" w:hAnsi="仿宋_GB2312" w:eastAsia="仿宋_GB2312"/>
          <w:sz w:val="32"/>
          <w:szCs w:val="32"/>
          <w:highlight w:val="none"/>
        </w:rPr>
        <w:t>《深圳市关于加快建设国际消费中心城市的若干措施》（深商务规〔2022〕2号）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3"/>
          <w:rFonts w:hint="eastAsia" w:ascii="仿宋_GB2312" w:hAnsi="仿宋_GB2312" w:eastAsia="仿宋_GB2312"/>
          <w:sz w:val="32"/>
          <w:szCs w:val="32"/>
          <w:highlight w:val="none"/>
          <w:lang w:val="en-US" w:eastAsia="zh-CN"/>
        </w:rPr>
      </w:pPr>
      <w:r>
        <w:rPr>
          <w:rStyle w:val="13"/>
          <w:rFonts w:hint="eastAsia" w:ascii="仿宋_GB2312" w:hAnsi="仿宋_GB2312" w:eastAsia="仿宋_GB2312"/>
          <w:sz w:val="32"/>
          <w:szCs w:val="32"/>
          <w:highlight w:val="none"/>
          <w:lang w:val="en-US" w:eastAsia="zh-CN"/>
        </w:rPr>
        <w:t>2.《深圳市商务局〈关于加快建设国际消费中心城市的若干措施〉实施细则》（深商务规〔2022〕4 号）</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仿宋_GB2312" w:eastAsia="仿宋_GB2312"/>
          <w:sz w:val="32"/>
          <w:szCs w:val="32"/>
        </w:rPr>
      </w:pPr>
      <w:r>
        <w:rPr>
          <w:rStyle w:val="13"/>
          <w:rFonts w:hint="eastAsia" w:ascii="仿宋_GB2312" w:hAnsi="仿宋_GB2312" w:eastAsia="仿宋_GB2312"/>
          <w:sz w:val="32"/>
          <w:szCs w:val="32"/>
          <w:highlight w:val="none"/>
          <w:lang w:val="en-US" w:eastAsia="zh-CN"/>
        </w:rPr>
        <w:t>3.《深圳市商务局瞪羚品牌认定办法（试行）》（深商务规〔2022〕11号）</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认定方式</w:t>
      </w:r>
      <w:r>
        <w:rPr>
          <w:rFonts w:hint="eastAsia" w:ascii="黑体" w:hAnsi="黑体" w:eastAsia="黑体"/>
          <w:sz w:val="32"/>
          <w:szCs w:val="32"/>
          <w:highlight w:val="none"/>
          <w:lang w:eastAsia="zh-CN"/>
        </w:rPr>
        <w:t>和认定数量</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楷体_GB2312" w:eastAsia="楷体_GB2312"/>
          <w:b w:val="0"/>
          <w:bCs/>
          <w:sz w:val="32"/>
          <w:szCs w:val="32"/>
          <w:lang w:eastAsia="zh-CN"/>
        </w:rPr>
      </w:pPr>
      <w:r>
        <w:rPr>
          <w:rFonts w:hint="eastAsia" w:ascii="楷体_GB2312" w:eastAsia="楷体_GB2312"/>
          <w:b w:val="0"/>
          <w:bCs/>
          <w:sz w:val="32"/>
          <w:szCs w:val="32"/>
        </w:rPr>
        <w:t>（一）</w:t>
      </w:r>
      <w:r>
        <w:rPr>
          <w:rFonts w:hint="eastAsia" w:ascii="楷体_GB2312" w:eastAsia="楷体_GB2312"/>
          <w:b w:val="0"/>
          <w:bCs/>
          <w:sz w:val="32"/>
          <w:szCs w:val="32"/>
          <w:lang w:eastAsia="zh-CN"/>
        </w:rPr>
        <w:t>认定方式</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按照“公开、公平、公正”的原则，鼓励符合条件的企业积极申报“瞪羚品牌”，企业根据自愿原则自主申报，经政府审核、认定、社会公示、发布。</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（二）认定数量</w:t>
      </w:r>
    </w:p>
    <w:p>
      <w:pPr>
        <w:pStyle w:val="18"/>
        <w:keepNext w:val="0"/>
        <w:keepLines w:val="0"/>
        <w:pageBreakBefore w:val="0"/>
        <w:widowControl w:val="0"/>
        <w:kinsoku/>
        <w:wordWrap/>
        <w:overflowPunct/>
        <w:topLinePunct w:val="0"/>
        <w:autoSpaceDE/>
        <w:autoSpaceDN/>
        <w:bidi w:val="0"/>
        <w:adjustRightInd/>
        <w:spacing w:line="560" w:lineRule="exact"/>
        <w:ind w:firstLine="640"/>
        <w:textAlignment w:val="auto"/>
        <w:rPr>
          <w:rStyle w:val="13"/>
          <w:highlight w:val="none"/>
        </w:rPr>
      </w:pPr>
      <w:r>
        <w:rPr>
          <w:rStyle w:val="13"/>
          <w:rFonts w:hint="eastAsia" w:ascii="仿宋_GB2312" w:hAnsi="仿宋_GB2312" w:cs="仿宋_GB2312"/>
          <w:highlight w:val="none"/>
        </w:rPr>
        <w:t>每个领域认定品牌数量不超过当年总认定数量的</w:t>
      </w:r>
      <w:r>
        <w:rPr>
          <w:rStyle w:val="13"/>
          <w:rFonts w:ascii="仿宋_GB2312" w:hAnsi="仿宋_GB2312" w:cs="仿宋_GB2312"/>
          <w:highlight w:val="none"/>
        </w:rPr>
        <w:t>20%</w:t>
      </w:r>
      <w:r>
        <w:rPr>
          <w:rStyle w:val="13"/>
          <w:rFonts w:hint="eastAsia" w:ascii="仿宋_GB2312" w:hAnsi="仿宋_GB2312" w:cs="仿宋_GB2312"/>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textAlignment w:val="auto"/>
        <w:rPr>
          <w:rFonts w:hint="eastAsia" w:ascii="仿宋_GB2312" w:eastAsia="仿宋_GB2312"/>
          <w:sz w:val="32"/>
          <w:szCs w:val="32"/>
          <w:lang w:val="en-US" w:eastAsia="zh-CN"/>
        </w:rPr>
      </w:pPr>
      <w:r>
        <w:rPr>
          <w:rFonts w:hint="eastAsia" w:ascii="黑体" w:hAnsi="黑体" w:eastAsia="黑体" w:cs="黑体"/>
          <w:sz w:val="32"/>
          <w:szCs w:val="32"/>
          <w:lang w:val="en-US" w:eastAsia="zh-CN"/>
        </w:rPr>
        <w:t>四、申报条件</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textAlignment w:val="auto"/>
        <w:rPr>
          <w:rFonts w:hint="eastAsia" w:ascii="仿宋_GB2312" w:eastAsia="仿宋_GB2312"/>
          <w:sz w:val="32"/>
          <w:szCs w:val="32"/>
          <w:lang w:val="en-US" w:eastAsia="zh-CN"/>
        </w:rPr>
      </w:pPr>
      <w:r>
        <w:rPr>
          <w:rStyle w:val="13"/>
          <w:rFonts w:hint="eastAsia" w:ascii="仿宋_GB2312" w:hAnsi="仿宋_GB2312" w:eastAsia="仿宋_GB2312"/>
          <w:sz w:val="32"/>
          <w:szCs w:val="32"/>
          <w:highlight w:val="none"/>
        </w:rPr>
        <w:t>申报“瞪羚品牌”的企业（以下简称申报企业）应当同时符合以下基本条件和专项条件</w:t>
      </w:r>
      <w:r>
        <w:rPr>
          <w:rStyle w:val="13"/>
          <w:rFonts w:hint="eastAsia" w:ascii="仿宋_GB2312" w:hAns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基础条件</w:t>
      </w:r>
      <w:r>
        <w:rPr>
          <w:rFonts w:hint="eastAsia" w:ascii="楷体_GB2312" w:hAnsi="楷体_GB2312" w:eastAsia="楷体_GB2312" w:cs="楷体_GB2312"/>
          <w:b w:val="0"/>
          <w:bCs/>
          <w:sz w:val="32"/>
          <w:szCs w:val="32"/>
          <w:lang w:eastAsia="zh-CN"/>
        </w:rPr>
        <w:t>如下：</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rPr>
        <w:t>1.成立时间1</w:t>
      </w:r>
      <w:r>
        <w:rPr>
          <w:rStyle w:val="13"/>
          <w:rFonts w:ascii="仿宋_GB2312" w:hAnsi="仿宋_GB2312" w:eastAsia="仿宋_GB2312"/>
          <w:sz w:val="32"/>
          <w:szCs w:val="32"/>
          <w:highlight w:val="none"/>
        </w:rPr>
        <w:t>0</w:t>
      </w:r>
      <w:r>
        <w:rPr>
          <w:rStyle w:val="13"/>
          <w:rFonts w:hint="eastAsia" w:ascii="仿宋_GB2312" w:hAnsi="仿宋_GB2312" w:eastAsia="仿宋_GB2312"/>
          <w:sz w:val="32"/>
          <w:szCs w:val="32"/>
          <w:highlight w:val="none"/>
        </w:rPr>
        <w:t>年以内，在深圳市（含深汕特别合作区，下同）内实际从事经营活动</w:t>
      </w:r>
      <w:r>
        <w:rPr>
          <w:rStyle w:val="13"/>
          <w:rFonts w:hint="eastAsia" w:ascii="仿宋_GB2312" w:hAnsi="仿宋_GB2312" w:eastAsia="仿宋_GB2312"/>
          <w:sz w:val="32"/>
          <w:szCs w:val="32"/>
          <w:highlight w:val="none"/>
          <w:lang w:eastAsia="zh-CN"/>
        </w:rPr>
        <w:t>的独立法人</w:t>
      </w:r>
      <w:r>
        <w:rPr>
          <w:rStyle w:val="13"/>
          <w:rFonts w:hint="eastAsia" w:ascii="仿宋_GB2312" w:hAnsi="仿宋_GB2312" w:eastAsia="仿宋_GB2312"/>
          <w:sz w:val="32"/>
          <w:szCs w:val="32"/>
          <w:highlight w:val="none"/>
        </w:rPr>
        <w:t>，在“国家统计局联网直报平台”中按照《国民经济行业分类》（GB/T 4754-2017）属于“批发业（F51）、零售业（F52）和餐饮业（H62）”；</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lang w:val="en-US" w:eastAsia="zh-CN"/>
        </w:rPr>
        <w:t>2.</w:t>
      </w:r>
      <w:r>
        <w:rPr>
          <w:rStyle w:val="13"/>
          <w:rFonts w:hint="eastAsia" w:ascii="仿宋_GB2312" w:hAnsi="仿宋_GB2312" w:eastAsia="仿宋_GB2312"/>
          <w:sz w:val="32"/>
          <w:szCs w:val="32"/>
          <w:highlight w:val="none"/>
        </w:rPr>
        <w:t>属于消费电子、时尚服饰、黄金珠宝、钟表眼镜、美颜美妆、食品餐饮、家装家居、工艺美术、音像器材、汽车汽配、文化创意、体育旅游等领域的消费品企业</w:t>
      </w:r>
      <w:r>
        <w:rPr>
          <w:rStyle w:val="13"/>
          <w:rFonts w:hint="eastAsia" w:ascii="仿宋_GB2312" w:hAnsi="仿宋_GB2312" w:eastAsia="仿宋_GB2312"/>
          <w:sz w:val="32"/>
          <w:szCs w:val="32"/>
          <w:highlight w:val="none"/>
          <w:lang w:eastAsia="zh-CN"/>
        </w:rPr>
        <w:t>，不包括品牌代理机构</w:t>
      </w:r>
      <w:r>
        <w:rPr>
          <w:rStyle w:val="13"/>
          <w:rFonts w:hint="eastAsia" w:ascii="仿宋_GB2312" w:hAns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lang w:val="en-US" w:eastAsia="zh-CN"/>
        </w:rPr>
        <w:t>3.</w:t>
      </w:r>
      <w:r>
        <w:rPr>
          <w:rStyle w:val="13"/>
          <w:rFonts w:hint="eastAsia" w:ascii="仿宋_GB2312" w:hAnsi="仿宋_GB2312" w:eastAsia="仿宋_GB2312"/>
          <w:sz w:val="32"/>
          <w:szCs w:val="32"/>
          <w:highlight w:val="none"/>
        </w:rPr>
        <w:t>同一企业或同一企业集团只</w:t>
      </w:r>
      <w:r>
        <w:rPr>
          <w:rStyle w:val="13"/>
          <w:rFonts w:ascii="仿宋_GB2312" w:hAnsi="仿宋_GB2312" w:eastAsia="仿宋_GB2312"/>
          <w:sz w:val="32"/>
          <w:szCs w:val="32"/>
          <w:highlight w:val="none"/>
        </w:rPr>
        <w:t>能申报一个品牌</w:t>
      </w:r>
      <w:r>
        <w:rPr>
          <w:rStyle w:val="13"/>
          <w:rFonts w:hint="eastAsia" w:ascii="仿宋_GB2312" w:hAnsi="仿宋_GB2312" w:eastAsia="仿宋_GB2312"/>
          <w:sz w:val="32"/>
          <w:szCs w:val="32"/>
          <w:highlight w:val="none"/>
        </w:rPr>
        <w:t>，该品牌上一个完整年度的销售额/营业额不低于1000万元；</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lang w:eastAsia="zh-CN"/>
        </w:rPr>
      </w:pPr>
      <w:r>
        <w:rPr>
          <w:rStyle w:val="13"/>
          <w:rFonts w:hint="eastAsia" w:ascii="仿宋_GB2312" w:hAnsi="仿宋_GB2312" w:eastAsia="仿宋_GB2312"/>
          <w:sz w:val="32"/>
          <w:szCs w:val="32"/>
          <w:highlight w:val="none"/>
          <w:lang w:val="en-US" w:eastAsia="zh-CN"/>
        </w:rPr>
        <w:t>4.</w:t>
      </w:r>
      <w:r>
        <w:rPr>
          <w:rStyle w:val="13"/>
          <w:rFonts w:hint="eastAsia" w:ascii="仿宋_GB2312" w:hAnsi="仿宋_GB2312" w:eastAsia="仿宋_GB2312"/>
          <w:sz w:val="32"/>
          <w:szCs w:val="32"/>
          <w:highlight w:val="none"/>
        </w:rPr>
        <w:t>已取得所申报品牌的商标权，且不存在权</w:t>
      </w:r>
      <w:r>
        <w:rPr>
          <w:rStyle w:val="13"/>
          <w:rFonts w:ascii="仿宋_GB2312" w:hAnsi="仿宋_GB2312" w:eastAsia="仿宋_GB2312"/>
          <w:sz w:val="32"/>
          <w:szCs w:val="32"/>
          <w:highlight w:val="none"/>
        </w:rPr>
        <w:t>属</w:t>
      </w:r>
      <w:r>
        <w:rPr>
          <w:rStyle w:val="13"/>
          <w:rFonts w:hint="eastAsia" w:ascii="仿宋_GB2312" w:hAnsi="仿宋_GB2312" w:eastAsia="仿宋_GB2312"/>
          <w:sz w:val="32"/>
          <w:szCs w:val="32"/>
          <w:highlight w:val="none"/>
        </w:rPr>
        <w:t>争议</w:t>
      </w:r>
      <w:r>
        <w:rPr>
          <w:rStyle w:val="13"/>
          <w:rFonts w:hint="eastAsia" w:ascii="仿宋_GB2312" w:hAns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lang w:val="en-US" w:eastAsia="zh-CN"/>
        </w:rPr>
        <w:t>5.</w:t>
      </w:r>
      <w:r>
        <w:rPr>
          <w:rStyle w:val="13"/>
          <w:rFonts w:hint="eastAsia" w:ascii="仿宋_GB2312" w:hAnsi="仿宋_GB2312" w:eastAsia="仿宋_GB2312"/>
          <w:sz w:val="32"/>
          <w:szCs w:val="32"/>
          <w:highlight w:val="none"/>
        </w:rPr>
        <w:t>未</w:t>
      </w:r>
      <w:r>
        <w:rPr>
          <w:rStyle w:val="13"/>
          <w:rFonts w:ascii="仿宋_GB2312" w:hAnsi="仿宋_GB2312" w:eastAsia="仿宋_GB2312"/>
          <w:sz w:val="32"/>
          <w:szCs w:val="32"/>
          <w:highlight w:val="none"/>
        </w:rPr>
        <w:t>被国家、省、市有关部门列入严重失信主体名单</w:t>
      </w:r>
      <w:r>
        <w:rPr>
          <w:rStyle w:val="13"/>
          <w:rFonts w:hint="eastAsia" w:ascii="仿宋_GB2312" w:hAns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lang w:val="en-US" w:eastAsia="zh-CN"/>
        </w:rPr>
        <w:t>6.</w:t>
      </w:r>
      <w:r>
        <w:rPr>
          <w:rStyle w:val="13"/>
          <w:rFonts w:hint="eastAsia" w:ascii="仿宋_GB2312" w:hAnsi="仿宋_GB2312" w:eastAsia="仿宋_GB2312"/>
          <w:sz w:val="32"/>
          <w:szCs w:val="32"/>
          <w:highlight w:val="none"/>
        </w:rPr>
        <w:t>对申报材料的真实性、合法性、完整性负责，应如实提供本单位信用状况，作出承诺并依法承担违约责任。</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Style w:val="13"/>
          <w:rFonts w:hint="eastAsia" w:ascii="楷体_GB2312" w:hAnsi="楷体_GB2312" w:eastAsia="楷体_GB2312" w:cs="楷体_GB2312"/>
          <w:sz w:val="32"/>
          <w:szCs w:val="32"/>
          <w:highlight w:val="none"/>
        </w:rPr>
      </w:pPr>
      <w:r>
        <w:rPr>
          <w:rStyle w:val="13"/>
          <w:rFonts w:hint="eastAsia" w:ascii="楷体_GB2312" w:hAnsi="楷体_GB2312" w:eastAsia="楷体_GB2312" w:cs="楷体_GB2312"/>
          <w:sz w:val="32"/>
          <w:szCs w:val="32"/>
          <w:highlight w:val="none"/>
          <w:lang w:eastAsia="zh-CN"/>
        </w:rPr>
        <w:t>（二）</w:t>
      </w:r>
      <w:r>
        <w:rPr>
          <w:rStyle w:val="13"/>
          <w:rFonts w:hint="eastAsia" w:ascii="楷体_GB2312" w:hAnsi="楷体_GB2312" w:eastAsia="楷体_GB2312" w:cs="楷体_GB2312"/>
          <w:sz w:val="32"/>
          <w:szCs w:val="32"/>
          <w:highlight w:val="none"/>
        </w:rPr>
        <w:t>申报企业须具备一定的品牌运营能力、市场影响能力、管理能力和发展潜力，具体专项条件如下：</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lang w:val="en-US" w:eastAsia="zh-CN"/>
        </w:rPr>
        <w:t>1.</w:t>
      </w:r>
      <w:r>
        <w:rPr>
          <w:rStyle w:val="13"/>
          <w:rFonts w:hint="eastAsia" w:ascii="仿宋_GB2312" w:hAnsi="仿宋_GB2312" w:eastAsia="仿宋_GB2312"/>
          <w:sz w:val="32"/>
          <w:szCs w:val="32"/>
          <w:highlight w:val="none"/>
        </w:rPr>
        <w:t>消费电子、黄金珠宝、汽车汽配领域企业上一个完整年度的营业收入需在5000万元以上，15亿元以下；时尚服饰、钟表眼镜、美颜美妆、食品餐饮、家装家居、工艺美术、音像器材、文化创意、体育旅游</w:t>
      </w:r>
      <w:r>
        <w:rPr>
          <w:rStyle w:val="13"/>
          <w:rFonts w:hint="eastAsia" w:ascii="仿宋_GB2312" w:hAnsi="仿宋_GB2312" w:eastAsia="仿宋_GB2312"/>
          <w:bCs/>
          <w:sz w:val="32"/>
          <w:szCs w:val="32"/>
          <w:highlight w:val="none"/>
        </w:rPr>
        <w:t>等</w:t>
      </w:r>
      <w:r>
        <w:rPr>
          <w:rStyle w:val="13"/>
          <w:rFonts w:hint="eastAsia" w:ascii="仿宋_GB2312" w:hAnsi="仿宋_GB2312" w:eastAsia="仿宋_GB2312"/>
          <w:sz w:val="32"/>
          <w:szCs w:val="32"/>
          <w:highlight w:val="none"/>
        </w:rPr>
        <w:t>领域企业上一个完整年度的营业收入需在3000万元以上，10亿元以下；</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lang w:val="en-US" w:eastAsia="zh-CN"/>
        </w:rPr>
        <w:t>2.</w:t>
      </w:r>
      <w:r>
        <w:rPr>
          <w:rStyle w:val="13"/>
          <w:rFonts w:hint="eastAsia" w:ascii="仿宋_GB2312" w:hAnsi="仿宋_GB2312" w:eastAsia="仿宋_GB2312"/>
          <w:sz w:val="32"/>
          <w:szCs w:val="32"/>
          <w:highlight w:val="none"/>
        </w:rPr>
        <w:t>持续经营三年或三年以上，近三个完整年度的营业收入复合增长率大于等于2</w:t>
      </w:r>
      <w:r>
        <w:rPr>
          <w:rStyle w:val="13"/>
          <w:rFonts w:ascii="仿宋_GB2312" w:hAnsi="仿宋_GB2312" w:eastAsia="仿宋_GB2312"/>
          <w:sz w:val="32"/>
          <w:szCs w:val="32"/>
          <w:highlight w:val="none"/>
        </w:rPr>
        <w:t>0%</w:t>
      </w:r>
      <w:r>
        <w:rPr>
          <w:rStyle w:val="13"/>
          <w:rFonts w:hint="eastAsia" w:ascii="仿宋_GB2312" w:hAns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Style w:val="13"/>
          <w:rFonts w:hint="eastAsia" w:ascii="仿宋_GB2312" w:hAnsi="仿宋_GB2312" w:eastAsia="仿宋_GB2312"/>
          <w:sz w:val="32"/>
          <w:szCs w:val="32"/>
          <w:highlight w:val="none"/>
        </w:rPr>
      </w:pPr>
      <w:r>
        <w:rPr>
          <w:rStyle w:val="13"/>
          <w:rFonts w:hint="eastAsia" w:ascii="仿宋_GB2312" w:hAnsi="仿宋_GB2312" w:eastAsia="仿宋_GB2312"/>
          <w:sz w:val="32"/>
          <w:szCs w:val="32"/>
          <w:highlight w:val="none"/>
          <w:lang w:val="en-US" w:eastAsia="zh-CN"/>
        </w:rPr>
        <w:t>3.</w:t>
      </w:r>
      <w:r>
        <w:rPr>
          <w:rStyle w:val="13"/>
          <w:rFonts w:hint="eastAsia" w:ascii="仿宋_GB2312" w:hAnsi="仿宋_GB2312" w:eastAsia="仿宋_GB2312"/>
          <w:sz w:val="32"/>
          <w:szCs w:val="32"/>
          <w:highlight w:val="none"/>
        </w:rPr>
        <w:t>尚未在境内外股票市场上市（新三板及各类非主板股权交易市场除外），且非上市公司控股或并购的企业。</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Style w:val="13"/>
          <w:rFonts w:ascii="仿宋_GB2312" w:hAnsi="仿宋_GB2312" w:eastAsia="仿宋_GB2312"/>
          <w:sz w:val="32"/>
          <w:szCs w:val="32"/>
          <w:highlight w:val="none"/>
        </w:rPr>
      </w:pPr>
      <w:r>
        <w:rPr>
          <w:rStyle w:val="13"/>
          <w:rFonts w:hint="eastAsia" w:ascii="仿宋_GB2312" w:hAnsi="仿宋_GB2312" w:eastAsia="仿宋_GB2312"/>
          <w:sz w:val="32"/>
          <w:szCs w:val="32"/>
          <w:highlight w:val="none"/>
          <w:lang w:eastAsia="zh-CN"/>
        </w:rPr>
        <w:t>注：</w:t>
      </w:r>
      <w:r>
        <w:rPr>
          <w:rStyle w:val="13"/>
          <w:rFonts w:hint="eastAsia" w:ascii="仿宋_GB2312" w:hAnsi="仿宋_GB2312" w:eastAsia="仿宋_GB2312"/>
          <w:sz w:val="32"/>
          <w:szCs w:val="32"/>
          <w:highlight w:val="none"/>
        </w:rPr>
        <w:t>前款所称企业集团，是指在中华人民共和国境内依法登记，以资本为联结纽带、以母子公司为主体、以集团章程为共同行为规范，由母公司、子公司、参股公司及其他成员企业或机构共同组成的企业法人联合体。</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黑体" w:hAnsi="黑体" w:eastAsia="黑体"/>
          <w:sz w:val="32"/>
          <w:szCs w:val="32"/>
        </w:rPr>
      </w:pPr>
      <w:r>
        <w:rPr>
          <w:rFonts w:hint="eastAsia" w:ascii="黑体" w:hAnsi="黑体" w:eastAsia="黑体" w:cs="黑体"/>
          <w:b w:val="0"/>
          <w:bCs/>
          <w:sz w:val="32"/>
          <w:szCs w:val="32"/>
          <w:lang w:eastAsia="zh-CN"/>
        </w:rPr>
        <w:t>五、</w:t>
      </w:r>
      <w:r>
        <w:rPr>
          <w:rFonts w:hint="eastAsia" w:ascii="黑体" w:hAnsi="黑体" w:eastAsia="黑体"/>
          <w:sz w:val="32"/>
          <w:szCs w:val="32"/>
        </w:rPr>
        <w:t>申</w:t>
      </w:r>
      <w:r>
        <w:rPr>
          <w:rFonts w:hint="eastAsia" w:ascii="黑体" w:hAnsi="黑体" w:eastAsia="黑体"/>
          <w:sz w:val="32"/>
          <w:szCs w:val="32"/>
          <w:lang w:eastAsia="zh-CN"/>
        </w:rPr>
        <w:t>报</w:t>
      </w:r>
      <w:r>
        <w:rPr>
          <w:rFonts w:hint="eastAsia" w:ascii="黑体" w:hAnsi="黑体" w:eastAsia="黑体"/>
          <w:sz w:val="32"/>
          <w:szCs w:val="32"/>
        </w:rPr>
        <w:t>材料</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《深圳市“瞪羚品牌”自评表》、《深圳市“瞪羚品牌”申报表》以及相关佐证材料；</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营业执照</w:t>
      </w:r>
      <w:r>
        <w:rPr>
          <w:rFonts w:hint="eastAsia" w:ascii="仿宋_GB2312" w:eastAsia="仿宋_GB2312"/>
          <w:sz w:val="32"/>
          <w:szCs w:val="32"/>
          <w:highlight w:val="none"/>
          <w:lang w:eastAsia="zh-CN"/>
        </w:rPr>
        <w:t>电子</w:t>
      </w:r>
      <w:r>
        <w:rPr>
          <w:rFonts w:hint="eastAsia" w:ascii="仿宋_GB2312" w:eastAsia="仿宋_GB2312"/>
          <w:sz w:val="32"/>
          <w:szCs w:val="32"/>
          <w:highlight w:val="none"/>
        </w:rPr>
        <w:t>件；</w:t>
      </w:r>
    </w:p>
    <w:p>
      <w:pPr>
        <w:keepNext w:val="0"/>
        <w:keepLines w:val="0"/>
        <w:pageBreakBefore w:val="0"/>
        <w:widowControl w:val="0"/>
        <w:kinsoku/>
        <w:wordWrap w:val="0"/>
        <w:overflowPunct/>
        <w:topLinePunct w:val="0"/>
        <w:autoSpaceDE/>
        <w:autoSpaceDN/>
        <w:bidi w:val="0"/>
        <w:adjustRightInd/>
        <w:spacing w:line="560" w:lineRule="exact"/>
        <w:ind w:firstLine="646"/>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企业的信用信息报告</w:t>
      </w:r>
      <w:r>
        <w:rPr>
          <w:rFonts w:hint="eastAsia" w:ascii="仿宋_GB2312" w:eastAsia="仿宋_GB2312"/>
          <w:sz w:val="32"/>
          <w:szCs w:val="32"/>
          <w:highlight w:val="none"/>
          <w:lang w:eastAsia="zh-CN"/>
        </w:rPr>
        <w:t>（通过信用中国https://www.creditchina.gov.cn/，深圳信用网https://www.szcredit.org.cn/两个网站查询下载）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企业近三个完整年度的审计报告；</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所申报品牌上一个完整年度的销售额/营业额的佐证材料；</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申报企业认为有必要提供的其它补充材料。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以上材料均需加盖申报</w:t>
      </w:r>
      <w:r>
        <w:rPr>
          <w:rFonts w:hint="eastAsia" w:ascii="仿宋_GB2312" w:eastAsia="仿宋_GB2312"/>
          <w:sz w:val="32"/>
          <w:szCs w:val="32"/>
          <w:lang w:eastAsia="zh-CN"/>
        </w:rPr>
        <w:t>企业公</w:t>
      </w:r>
      <w:r>
        <w:rPr>
          <w:rFonts w:hint="eastAsia" w:ascii="仿宋_GB2312" w:eastAsia="仿宋_GB2312"/>
          <w:sz w:val="32"/>
          <w:szCs w:val="32"/>
        </w:rPr>
        <w:t>章，多页的还需加盖骑缝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highlight w:val="none"/>
          <w:lang w:eastAsia="zh-CN"/>
        </w:rPr>
        <w:t>签字需正楷手写或签章；</w:t>
      </w:r>
      <w:r>
        <w:rPr>
          <w:rFonts w:hint="eastAsia" w:ascii="仿宋_GB2312" w:eastAsia="仿宋_GB2312"/>
          <w:sz w:val="32"/>
          <w:szCs w:val="32"/>
          <w:lang w:eastAsia="zh-CN"/>
        </w:rPr>
        <w:t>涉及外文的，需提供中文翻译件；</w:t>
      </w:r>
      <w:r>
        <w:rPr>
          <w:rFonts w:hint="eastAsia" w:ascii="仿宋_GB2312" w:eastAsia="仿宋_GB2312"/>
          <w:sz w:val="32"/>
          <w:szCs w:val="32"/>
        </w:rPr>
        <w:t>一式两份，A4纸正反面打印/复印，非空白页（含封面）需连续编写页码，装订成册（胶装）。</w:t>
      </w:r>
    </w:p>
    <w:p>
      <w:pPr>
        <w:pStyle w:val="2"/>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eastAsia="仿宋_GB2312"/>
          <w:lang w:eastAsia="zh-CN"/>
        </w:rPr>
      </w:pPr>
      <w:r>
        <w:rPr>
          <w:rFonts w:hint="eastAsia" w:ascii="仿宋_GB2312" w:eastAsia="仿宋_GB2312"/>
          <w:b/>
          <w:bCs/>
          <w:sz w:val="32"/>
          <w:szCs w:val="32"/>
          <w:lang w:eastAsia="zh-CN"/>
        </w:rPr>
        <w:t>特别提醒：</w:t>
      </w:r>
      <w:r>
        <w:rPr>
          <w:rStyle w:val="13"/>
          <w:rFonts w:hint="eastAsia" w:ascii="仿宋_GB2312" w:hAnsi="仿宋_GB2312" w:eastAsia="仿宋_GB2312"/>
          <w:b/>
          <w:bCs/>
          <w:sz w:val="32"/>
          <w:szCs w:val="32"/>
          <w:highlight w:val="none"/>
        </w:rPr>
        <w:t>申报企业应对提交资料、数据、佐证材料的准确性、真实性负责。如有弄虚作假</w:t>
      </w:r>
      <w:r>
        <w:rPr>
          <w:rStyle w:val="13"/>
          <w:rFonts w:hint="eastAsia" w:ascii="仿宋_GB2312" w:hAnsi="仿宋_GB2312" w:eastAsia="仿宋_GB2312"/>
          <w:b/>
          <w:bCs/>
          <w:sz w:val="32"/>
          <w:szCs w:val="32"/>
          <w:highlight w:val="none"/>
          <w:lang w:eastAsia="zh-CN"/>
        </w:rPr>
        <w:t>或者</w:t>
      </w:r>
      <w:r>
        <w:rPr>
          <w:rStyle w:val="13"/>
          <w:rFonts w:hint="eastAsia" w:ascii="仿宋_GB2312" w:hAnsi="仿宋_GB2312" w:eastAsia="仿宋_GB2312"/>
          <w:b/>
          <w:bCs/>
          <w:sz w:val="32"/>
          <w:szCs w:val="32"/>
          <w:highlight w:val="none"/>
        </w:rPr>
        <w:t>错报、瞒报行为，一经查实，取消相应资格和扶持政策，三年内不得再次申报。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w:t>
      </w:r>
      <w:r>
        <w:rPr>
          <w:rFonts w:hint="eastAsia" w:ascii="黑体" w:hAnsi="黑体" w:eastAsia="黑体"/>
          <w:sz w:val="32"/>
          <w:szCs w:val="32"/>
        </w:rPr>
        <w:t>申</w:t>
      </w:r>
      <w:r>
        <w:rPr>
          <w:rFonts w:hint="eastAsia" w:ascii="黑体" w:hAnsi="黑体" w:eastAsia="黑体"/>
          <w:sz w:val="32"/>
          <w:szCs w:val="32"/>
          <w:lang w:eastAsia="zh-CN"/>
        </w:rPr>
        <w:t>报</w:t>
      </w:r>
      <w:r>
        <w:rPr>
          <w:rFonts w:hint="eastAsia" w:ascii="黑体" w:hAnsi="黑体" w:eastAsia="黑体"/>
          <w:sz w:val="32"/>
          <w:szCs w:val="32"/>
        </w:rPr>
        <w:t>表格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eastAsia="zh-CN"/>
        </w:rPr>
        <w:t>在</w:t>
      </w:r>
      <w:r>
        <w:rPr>
          <w:rFonts w:hint="default" w:ascii="仿宋_GB2312" w:hAnsi="仿宋_GB2312" w:eastAsia="仿宋_GB2312" w:cs="仿宋_GB2312"/>
          <w:sz w:val="32"/>
          <w:szCs w:val="32"/>
          <w:highlight w:val="none"/>
        </w:rPr>
        <w:t>广东政务服务网</w:t>
      </w:r>
      <w:r>
        <w:rPr>
          <w:rFonts w:hint="eastAsia" w:ascii="仿宋_GB2312" w:hAnsi="仿宋_GB2312" w:eastAsia="仿宋_GB2312" w:cs="仿宋_GB2312"/>
          <w:sz w:val="32"/>
          <w:szCs w:val="32"/>
          <w:highlight w:val="none"/>
          <w:lang w:eastAsia="zh-CN"/>
        </w:rPr>
        <w:t>（</w:t>
      </w:r>
      <w:r>
        <w:rPr>
          <w:rFonts w:hint="eastAsia" w:ascii="仿宋_GB2312" w:eastAsia="仿宋_GB2312"/>
          <w:color w:val="auto"/>
          <w:sz w:val="32"/>
          <w:szCs w:val="32"/>
          <w:highlight w:val="none"/>
        </w:rPr>
        <w:t>网址：</w:t>
      </w:r>
      <w:r>
        <w:rPr>
          <w:rFonts w:hint="eastAsia" w:ascii="仿宋_GB2312" w:eastAsia="仿宋_GB2312"/>
          <w:color w:val="auto"/>
          <w:sz w:val="32"/>
          <w:szCs w:val="32"/>
          <w:highlight w:val="none"/>
          <w:u w:val="none"/>
        </w:rPr>
        <w:t>http://www.gdzwfw.gov.cn/</w:t>
      </w:r>
      <w:r>
        <w:rPr>
          <w:rFonts w:hint="eastAsia" w:ascii="仿宋_GB2312" w:hAnsi="仿宋_GB2312" w:eastAsia="仿宋_GB2312" w:cs="仿宋_GB2312"/>
          <w:color w:val="auto"/>
          <w:sz w:val="32"/>
          <w:szCs w:val="32"/>
          <w:highlight w:val="none"/>
          <w:u w:val="none"/>
          <w:lang w:eastAsia="zh-CN"/>
        </w:rPr>
        <w:t>）“瞪羚品牌认定”办事指南页面下载</w:t>
      </w:r>
      <w:r>
        <w:rPr>
          <w:rFonts w:hint="eastAsia" w:ascii="仿宋_GB2312" w:eastAsia="仿宋_GB2312"/>
          <w:sz w:val="32"/>
          <w:szCs w:val="32"/>
        </w:rPr>
        <w:t>《深圳市“瞪羚品牌”自评表》</w:t>
      </w:r>
      <w:r>
        <w:rPr>
          <w:rFonts w:hint="eastAsia" w:ascii="仿宋_GB2312" w:eastAsia="仿宋_GB2312"/>
          <w:sz w:val="32"/>
          <w:szCs w:val="32"/>
          <w:lang w:eastAsia="zh-CN"/>
        </w:rPr>
        <w:t>、</w:t>
      </w:r>
      <w:r>
        <w:rPr>
          <w:rFonts w:hint="eastAsia" w:ascii="仿宋_GB2312" w:eastAsia="仿宋_GB2312"/>
          <w:sz w:val="32"/>
          <w:szCs w:val="32"/>
        </w:rPr>
        <w:t>《深圳市“瞪羚品牌”申报表》</w:t>
      </w:r>
      <w:r>
        <w:rPr>
          <w:rFonts w:hint="eastAsia" w:ascii="仿宋_GB2312" w:hAnsi="仿宋_GB2312" w:eastAsia="仿宋_GB2312" w:cs="仿宋_GB2312"/>
          <w:color w:val="auto"/>
          <w:sz w:val="32"/>
          <w:szCs w:val="32"/>
          <w:highlight w:val="none"/>
          <w:u w:val="none"/>
          <w:lang w:eastAsia="zh-CN"/>
        </w:rPr>
        <w:t>模板填报。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sz w:val="32"/>
          <w:szCs w:val="32"/>
          <w:lang w:eastAsia="zh-CN"/>
        </w:rPr>
        <w:t>七</w:t>
      </w:r>
      <w:r>
        <w:rPr>
          <w:rFonts w:hint="eastAsia" w:ascii="黑体" w:hAnsi="黑体" w:eastAsia="黑体"/>
          <w:sz w:val="32"/>
          <w:szCs w:val="32"/>
        </w:rPr>
        <w:t>、</w:t>
      </w:r>
      <w:r>
        <w:rPr>
          <w:rFonts w:hint="eastAsia" w:ascii="黑体" w:hAnsi="黑体" w:eastAsia="黑体"/>
          <w:sz w:val="32"/>
          <w:szCs w:val="32"/>
          <w:lang w:eastAsia="zh-CN"/>
        </w:rPr>
        <w:t>申报方式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color w:val="auto"/>
          <w:sz w:val="32"/>
          <w:szCs w:val="32"/>
          <w:highlight w:val="none"/>
        </w:rPr>
        <w:t>登录广东政务服务网</w:t>
      </w:r>
      <w:r>
        <w:rPr>
          <w:rFonts w:hint="eastAsia" w:ascii="仿宋_GB2312" w:hAnsi="仿宋_GB2312" w:eastAsia="仿宋_GB2312" w:cs="仿宋_GB2312"/>
          <w:sz w:val="32"/>
          <w:szCs w:val="32"/>
          <w:highlight w:val="none"/>
          <w:lang w:eastAsia="zh-CN"/>
        </w:rPr>
        <w:t>（</w:t>
      </w:r>
      <w:r>
        <w:rPr>
          <w:rFonts w:hint="eastAsia" w:ascii="仿宋_GB2312" w:eastAsia="仿宋_GB2312"/>
          <w:color w:val="auto"/>
          <w:sz w:val="32"/>
          <w:szCs w:val="32"/>
          <w:highlight w:val="none"/>
        </w:rPr>
        <w:t>网址：</w:t>
      </w:r>
      <w:r>
        <w:rPr>
          <w:rFonts w:hint="eastAsia" w:ascii="仿宋_GB2312" w:eastAsia="仿宋_GB2312"/>
          <w:color w:val="auto"/>
          <w:sz w:val="32"/>
          <w:szCs w:val="32"/>
          <w:highlight w:val="none"/>
          <w:u w:val="none"/>
        </w:rPr>
        <w:t>http://www.gdzwfw.gov.cn/</w:t>
      </w:r>
      <w:r>
        <w:rPr>
          <w:rFonts w:hint="eastAsia" w:ascii="仿宋_GB2312" w:hAnsi="仿宋_GB2312" w:eastAsia="仿宋_GB2312" w:cs="仿宋_GB2312"/>
          <w:color w:val="auto"/>
          <w:sz w:val="32"/>
          <w:szCs w:val="32"/>
          <w:highlight w:val="none"/>
          <w:u w:val="none"/>
          <w:lang w:eastAsia="zh-CN"/>
        </w:rPr>
        <w:t>），点击“在线申办”，搜索“瞪羚品牌认定”并选中，点击“开始填报”，在线填报数据及上传附件。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、受理机关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（一）受理机关：深圳市商务局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（二）受理时间：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sz w:val="32"/>
          <w:szCs w:val="32"/>
        </w:rPr>
        <w:t>网络填报时间：</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default" w:ascii="仿宋_GB2312" w:hAnsi="宋体" w:eastAsia="仿宋_GB2312"/>
          <w:sz w:val="32"/>
          <w:szCs w:val="32"/>
          <w:lang w:val="en-US"/>
        </w:rPr>
        <w:t>7</w:t>
      </w:r>
      <w:r>
        <w:rPr>
          <w:rFonts w:hint="eastAsia" w:ascii="仿宋_GB2312" w:hAnsi="宋体" w:eastAsia="仿宋_GB2312"/>
          <w:sz w:val="32"/>
          <w:szCs w:val="32"/>
        </w:rPr>
        <w:t>日—20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default" w:ascii="仿宋_GB2312" w:hAnsi="宋体" w:eastAsia="仿宋_GB2312"/>
          <w:sz w:val="32"/>
          <w:szCs w:val="32"/>
          <w:lang w:val="en-US"/>
        </w:rPr>
        <w:t>6</w:t>
      </w:r>
      <w:r>
        <w:rPr>
          <w:rFonts w:hint="eastAsia" w:ascii="仿宋_GB2312" w:hAnsi="宋体" w:eastAsia="仿宋_GB2312"/>
          <w:sz w:val="32"/>
          <w:szCs w:val="32"/>
        </w:rPr>
        <w:t>日17:00;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2.材料</w:t>
      </w:r>
      <w:r>
        <w:rPr>
          <w:rFonts w:hint="eastAsia" w:ascii="仿宋_GB2312" w:hAnsi="宋体" w:eastAsia="仿宋_GB2312"/>
          <w:sz w:val="32"/>
          <w:szCs w:val="32"/>
          <w:lang w:eastAsia="zh-CN"/>
        </w:rPr>
        <w:t>提交</w:t>
      </w:r>
      <w:r>
        <w:rPr>
          <w:rFonts w:hint="eastAsia" w:ascii="仿宋_GB2312" w:hAnsi="宋体" w:eastAsia="仿宋_GB2312"/>
          <w:sz w:val="32"/>
          <w:szCs w:val="32"/>
        </w:rPr>
        <w:t>时间：20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default" w:ascii="仿宋_GB2312" w:hAnsi="宋体" w:eastAsia="仿宋_GB2312"/>
          <w:sz w:val="32"/>
          <w:szCs w:val="32"/>
          <w:lang w:val="en-US"/>
        </w:rPr>
        <w:t>7</w:t>
      </w:r>
      <w:r>
        <w:rPr>
          <w:rFonts w:hint="eastAsia" w:ascii="仿宋_GB2312" w:hAnsi="宋体" w:eastAsia="仿宋_GB2312"/>
          <w:sz w:val="32"/>
          <w:szCs w:val="32"/>
        </w:rPr>
        <w:t>日—20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default" w:ascii="仿宋_GB2312" w:hAnsi="宋体" w:eastAsia="仿宋_GB2312"/>
          <w:sz w:val="32"/>
          <w:szCs w:val="32"/>
          <w:lang w:val="en-US"/>
        </w:rPr>
        <w:t>9</w:t>
      </w:r>
      <w:r>
        <w:rPr>
          <w:rFonts w:hint="eastAsia" w:ascii="仿宋_GB2312" w:hAnsi="宋体" w:eastAsia="仿宋_GB2312"/>
          <w:sz w:val="32"/>
          <w:szCs w:val="32"/>
        </w:rPr>
        <w:t>日1</w:t>
      </w: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0</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申报企业在上述规定时间内在线填报、提交纸质材料，逾期不予受理</w:t>
      </w:r>
      <w:r>
        <w:rPr>
          <w:rFonts w:hint="eastAsia" w:ascii="仿宋_GB2312" w:hAnsi="宋体" w:eastAsia="仿宋_GB2312"/>
          <w:sz w:val="32"/>
          <w:szCs w:val="32"/>
        </w:rPr>
        <w:t>（注：网络填报时间截止后系统将不再受理新</w:t>
      </w:r>
      <w:r>
        <w:rPr>
          <w:rFonts w:hint="eastAsia" w:ascii="仿宋_GB2312" w:hAnsi="宋体" w:eastAsia="仿宋_GB2312"/>
          <w:sz w:val="32"/>
          <w:szCs w:val="32"/>
          <w:lang w:eastAsia="zh-CN"/>
        </w:rPr>
        <w:t>申报</w:t>
      </w:r>
      <w:r>
        <w:rPr>
          <w:rFonts w:hint="eastAsia" w:ascii="仿宋_GB2312" w:hAnsi="宋体" w:eastAsia="仿宋_GB2312"/>
          <w:sz w:val="32"/>
          <w:szCs w:val="32"/>
        </w:rPr>
        <w:t>）</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default" w:ascii="仿宋_GB2312" w:eastAsia="仿宋_GB2312"/>
          <w:color w:val="auto"/>
          <w:sz w:val="32"/>
          <w:szCs w:val="32"/>
          <w:highlight w:val="none"/>
        </w:rPr>
        <w:t>业务</w:t>
      </w:r>
      <w:r>
        <w:rPr>
          <w:rFonts w:hint="eastAsia" w:ascii="仿宋_GB2312" w:eastAsia="仿宋_GB2312"/>
          <w:color w:val="auto"/>
          <w:sz w:val="32"/>
          <w:szCs w:val="32"/>
          <w:highlight w:val="none"/>
        </w:rPr>
        <w:t>咨询电话：0755-</w:t>
      </w:r>
      <w:r>
        <w:rPr>
          <w:rFonts w:hint="default" w:ascii="仿宋_GB2312" w:eastAsia="仿宋_GB2312"/>
          <w:color w:val="auto"/>
          <w:sz w:val="32"/>
          <w:szCs w:val="32"/>
          <w:highlight w:val="none"/>
          <w:lang w:val="en-US"/>
        </w:rPr>
        <w:t>8810</w:t>
      </w:r>
      <w:bookmarkStart w:id="0" w:name="_GoBack"/>
      <w:bookmarkEnd w:id="0"/>
      <w:r>
        <w:rPr>
          <w:rFonts w:hint="default" w:ascii="仿宋_GB2312" w:eastAsia="仿宋_GB2312"/>
          <w:color w:val="auto"/>
          <w:sz w:val="32"/>
          <w:szCs w:val="32"/>
          <w:highlight w:val="none"/>
          <w:lang w:val="en-US"/>
        </w:rPr>
        <w:t>2459</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88102395</w:t>
      </w:r>
      <w:r>
        <w:rPr>
          <w:rFonts w:hint="eastAsia" w:ascii="仿宋_GB2312" w:eastAsia="仿宋_GB2312"/>
          <w:color w:val="auto"/>
          <w:sz w:val="32"/>
          <w:szCs w:val="32"/>
          <w:highlight w:val="none"/>
          <w:lang w:eastAsia="zh-CN"/>
        </w:rPr>
        <w:t>，88101050</w:t>
      </w:r>
      <w:r>
        <w:rPr>
          <w:rFonts w:hint="eastAsia" w:ascii="仿宋_GB2312" w:eastAsia="仿宋_GB2312"/>
          <w:color w:val="auto"/>
          <w:sz w:val="32"/>
          <w:szCs w:val="32"/>
          <w:highlight w:val="none"/>
        </w:rPr>
        <w:t>（工作日上午9:00-12:00，下午2:00-6:00）。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rPr>
      </w:pPr>
      <w:r>
        <w:rPr>
          <w:rFonts w:hint="default" w:ascii="仿宋_GB2312" w:eastAsia="仿宋_GB2312"/>
          <w:color w:val="auto"/>
          <w:sz w:val="32"/>
          <w:szCs w:val="32"/>
          <w:highlight w:val="none"/>
        </w:rPr>
        <w:t>（五）技术支持</w:t>
      </w:r>
      <w:r>
        <w:rPr>
          <w:rFonts w:hint="eastAsia" w:ascii="仿宋_GB2312" w:eastAsia="仿宋_GB2312"/>
          <w:color w:val="auto"/>
          <w:sz w:val="32"/>
          <w:szCs w:val="32"/>
          <w:highlight w:val="none"/>
        </w:rPr>
        <w:t>电话：0755-88102445（工作日上午9:00-12:00，下午2:00-6:00）。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、申</w:t>
      </w:r>
      <w:r>
        <w:rPr>
          <w:rFonts w:hint="eastAsia" w:ascii="黑体" w:hAnsi="黑体" w:eastAsia="黑体"/>
          <w:sz w:val="32"/>
          <w:szCs w:val="32"/>
          <w:lang w:eastAsia="zh-CN"/>
        </w:rPr>
        <w:t>报</w:t>
      </w:r>
      <w:r>
        <w:rPr>
          <w:rFonts w:hint="eastAsia" w:ascii="黑体" w:hAnsi="黑体" w:eastAsia="黑体"/>
          <w:sz w:val="32"/>
          <w:szCs w:val="32"/>
        </w:rPr>
        <w:t>决定机关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深圳市商务局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、办理流程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发布</w:t>
      </w:r>
      <w:r>
        <w:rPr>
          <w:rFonts w:hint="eastAsia" w:ascii="仿宋_GB2312" w:eastAsia="仿宋_GB2312"/>
          <w:sz w:val="32"/>
          <w:szCs w:val="32"/>
          <w:lang w:eastAsia="zh-CN"/>
        </w:rPr>
        <w:t>申报指引</w:t>
      </w:r>
      <w:r>
        <w:rPr>
          <w:rFonts w:hint="eastAsia" w:ascii="仿宋_GB2312" w:eastAsia="仿宋_GB2312"/>
          <w:sz w:val="32"/>
          <w:szCs w:val="32"/>
        </w:rPr>
        <w:t>——</w:t>
      </w:r>
      <w:r>
        <w:rPr>
          <w:rFonts w:hint="eastAsia" w:ascii="仿宋_GB2312" w:eastAsia="仿宋_GB2312"/>
          <w:sz w:val="32"/>
          <w:szCs w:val="32"/>
          <w:lang w:eastAsia="zh-CN"/>
        </w:rPr>
        <w:t>申报企业</w:t>
      </w:r>
      <w:r>
        <w:rPr>
          <w:rFonts w:hint="eastAsia" w:ascii="仿宋_GB2312" w:eastAsia="仿宋_GB2312"/>
          <w:sz w:val="32"/>
          <w:szCs w:val="32"/>
        </w:rPr>
        <w:t>网上申报——初审——</w:t>
      </w:r>
      <w:r>
        <w:rPr>
          <w:rFonts w:hint="eastAsia" w:ascii="仿宋_GB2312" w:eastAsia="仿宋_GB2312"/>
          <w:sz w:val="32"/>
          <w:szCs w:val="32"/>
          <w:lang w:eastAsia="zh-CN"/>
        </w:rPr>
        <w:t>申报企业</w:t>
      </w:r>
      <w:r>
        <w:rPr>
          <w:rFonts w:hint="eastAsia" w:ascii="仿宋_GB2312" w:eastAsia="仿宋_GB2312"/>
          <w:sz w:val="32"/>
          <w:szCs w:val="32"/>
        </w:rPr>
        <w:t>向市行政服务大厅收文窗口提交</w:t>
      </w:r>
      <w:r>
        <w:rPr>
          <w:rFonts w:hint="eastAsia" w:ascii="仿宋_GB2312" w:eastAsia="仿宋_GB2312"/>
          <w:sz w:val="32"/>
          <w:szCs w:val="32"/>
          <w:lang w:eastAsia="zh-CN"/>
        </w:rPr>
        <w:t>纸质申报</w:t>
      </w:r>
      <w:r>
        <w:rPr>
          <w:rFonts w:hint="eastAsia" w:ascii="仿宋_GB2312" w:eastAsia="仿宋_GB2312"/>
          <w:sz w:val="32"/>
          <w:szCs w:val="32"/>
        </w:rPr>
        <w:t>材料——</w:t>
      </w:r>
      <w:r>
        <w:rPr>
          <w:rFonts w:hint="eastAsia" w:ascii="仿宋_GB2312" w:eastAsia="仿宋_GB2312"/>
          <w:sz w:val="32"/>
          <w:szCs w:val="32"/>
          <w:lang w:eastAsia="zh-CN"/>
        </w:rPr>
        <w:t>形式审查——资质审查</w:t>
      </w:r>
      <w:r>
        <w:rPr>
          <w:rFonts w:hint="eastAsia" w:ascii="仿宋_GB2312" w:eastAsia="仿宋_GB2312"/>
          <w:sz w:val="32"/>
          <w:szCs w:val="32"/>
          <w:highlight w:val="none"/>
          <w:lang w:eastAsia="zh-CN"/>
        </w:rPr>
        <w:t>——专项审计</w:t>
      </w:r>
      <w:r>
        <w:rPr>
          <w:rFonts w:hint="eastAsia" w:ascii="仿宋_GB2312" w:hAnsi="仿宋_GB2312" w:eastAsia="仿宋_GB2312" w:cs="仿宋_GB2312"/>
          <w:sz w:val="32"/>
          <w:szCs w:val="32"/>
          <w:highlight w:val="none"/>
          <w:lang w:eastAsia="zh-CN"/>
        </w:rPr>
        <w:t>（现场审计）</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专家评审</w:t>
      </w:r>
      <w:r>
        <w:rPr>
          <w:rFonts w:hint="eastAsia" w:ascii="仿宋_GB2312" w:eastAsia="仿宋_GB2312"/>
          <w:sz w:val="32"/>
          <w:szCs w:val="32"/>
        </w:rPr>
        <w:t>——征求相关单位意见</w:t>
      </w:r>
      <w:r>
        <w:rPr>
          <w:rFonts w:hint="eastAsia" w:ascii="仿宋_GB2312" w:eastAsia="仿宋_GB2312"/>
          <w:sz w:val="32"/>
          <w:szCs w:val="32"/>
          <w:lang w:eastAsia="zh-CN"/>
        </w:rPr>
        <w:t>（</w:t>
      </w:r>
      <w:r>
        <w:rPr>
          <w:rFonts w:hint="eastAsia" w:ascii="仿宋_GB2312" w:hAnsi="仿宋" w:eastAsia="仿宋_GB2312"/>
          <w:sz w:val="32"/>
          <w:szCs w:val="32"/>
          <w:highlight w:val="none"/>
        </w:rPr>
        <w:t>统计</w:t>
      </w:r>
      <w:r>
        <w:rPr>
          <w:rFonts w:hint="eastAsia" w:ascii="仿宋_GB2312" w:hAnsi="仿宋" w:eastAsia="仿宋_GB2312"/>
          <w:sz w:val="32"/>
          <w:szCs w:val="32"/>
          <w:highlight w:val="none"/>
          <w:lang w:eastAsia="zh-CN"/>
        </w:rPr>
        <w:t>行业类别、是</w:t>
      </w:r>
      <w:r>
        <w:rPr>
          <w:rFonts w:hint="eastAsia" w:ascii="仿宋_GB2312" w:eastAsia="仿宋_GB2312"/>
          <w:sz w:val="32"/>
          <w:szCs w:val="32"/>
          <w:lang w:val="en-US" w:eastAsia="zh-CN"/>
        </w:rPr>
        <w:t>否被列入严重失信主体名单</w:t>
      </w:r>
      <w:r>
        <w:rPr>
          <w:rFonts w:hint="eastAsia" w:ascii="仿宋_GB2312" w:hAnsi="仿宋" w:eastAsia="仿宋_GB2312"/>
          <w:sz w:val="32"/>
          <w:szCs w:val="32"/>
        </w:rPr>
        <w:t>等情况</w:t>
      </w:r>
      <w:r>
        <w:rPr>
          <w:rFonts w:hint="eastAsia" w:ascii="仿宋_GB2312" w:eastAsia="仿宋_GB2312"/>
          <w:sz w:val="32"/>
          <w:szCs w:val="32"/>
          <w:lang w:eastAsia="zh-CN"/>
        </w:rPr>
        <w:t>）</w:t>
      </w:r>
      <w:r>
        <w:rPr>
          <w:rFonts w:hint="eastAsia" w:ascii="仿宋_GB2312" w:eastAsia="仿宋_GB2312"/>
          <w:sz w:val="32"/>
          <w:szCs w:val="32"/>
        </w:rPr>
        <w:t>——核定拟</w:t>
      </w:r>
      <w:r>
        <w:rPr>
          <w:rFonts w:hint="eastAsia" w:ascii="仿宋_GB2312" w:eastAsia="仿宋_GB2312"/>
          <w:sz w:val="32"/>
          <w:szCs w:val="32"/>
          <w:lang w:eastAsia="zh-CN"/>
        </w:rPr>
        <w:t>认定名单</w:t>
      </w:r>
      <w:r>
        <w:rPr>
          <w:rFonts w:hint="eastAsia" w:ascii="仿宋_GB2312" w:eastAsia="仿宋_GB2312"/>
          <w:sz w:val="32"/>
          <w:szCs w:val="32"/>
        </w:rPr>
        <w:t>——社会公示——</w:t>
      </w:r>
      <w:r>
        <w:rPr>
          <w:rFonts w:hint="eastAsia" w:ascii="仿宋_GB2312" w:eastAsia="仿宋_GB2312"/>
          <w:sz w:val="32"/>
          <w:szCs w:val="32"/>
          <w:lang w:eastAsia="zh-CN"/>
        </w:rPr>
        <w:t>公布认定名单</w:t>
      </w:r>
      <w:r>
        <w:rPr>
          <w:rFonts w:hint="eastAsia" w:ascii="仿宋_GB2312" w:eastAsia="仿宋_GB2312"/>
          <w:sz w:val="32"/>
          <w:szCs w:val="32"/>
        </w:rPr>
        <w:t>——</w:t>
      </w:r>
      <w:r>
        <w:rPr>
          <w:rFonts w:hint="eastAsia" w:ascii="仿宋_GB2312" w:eastAsia="仿宋_GB2312"/>
          <w:sz w:val="32"/>
          <w:szCs w:val="32"/>
          <w:lang w:eastAsia="zh-CN"/>
        </w:rPr>
        <w:t>授牌</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、办理时限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default" w:ascii="仿宋_GB2312" w:eastAsia="仿宋_GB2312"/>
          <w:b w:val="0"/>
          <w:bCs w:val="0"/>
          <w:color w:val="auto"/>
          <w:sz w:val="32"/>
          <w:szCs w:val="32"/>
        </w:rPr>
        <w:t>90个工作日（不包含</w:t>
      </w:r>
      <w:r>
        <w:rPr>
          <w:rFonts w:hint="eastAsia" w:ascii="仿宋_GB2312" w:eastAsia="仿宋_GB2312"/>
          <w:b w:val="0"/>
          <w:bCs w:val="0"/>
          <w:color w:val="auto"/>
          <w:sz w:val="32"/>
          <w:szCs w:val="32"/>
          <w:highlight w:val="none"/>
          <w:lang w:eastAsia="zh-CN"/>
        </w:rPr>
        <w:t>专项审计、</w:t>
      </w:r>
      <w:r>
        <w:rPr>
          <w:rFonts w:hint="eastAsia" w:ascii="仿宋_GB2312" w:eastAsia="仿宋_GB2312"/>
          <w:b w:val="0"/>
          <w:bCs w:val="0"/>
          <w:color w:val="auto"/>
          <w:sz w:val="32"/>
          <w:szCs w:val="32"/>
          <w:lang w:eastAsia="zh-CN"/>
        </w:rPr>
        <w:t>专家评审等</w:t>
      </w:r>
      <w:r>
        <w:rPr>
          <w:rFonts w:hint="default" w:ascii="仿宋_GB2312" w:eastAsia="仿宋_GB2312"/>
          <w:b w:val="0"/>
          <w:bCs w:val="0"/>
          <w:color w:val="auto"/>
          <w:sz w:val="32"/>
          <w:szCs w:val="32"/>
        </w:rPr>
        <w:t>特殊程序时间）</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、证件及有效期</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0"/>
        <w:rPr>
          <w:rFonts w:hint="eastAsia" w:ascii="仿宋_GB2312" w:eastAsia="仿宋_GB2312"/>
          <w:sz w:val="32"/>
          <w:szCs w:val="32"/>
          <w:lang w:eastAsia="zh-CN"/>
        </w:rPr>
      </w:pPr>
      <w:r>
        <w:rPr>
          <w:rFonts w:hint="eastAsia" w:ascii="仿宋_GB2312" w:eastAsia="仿宋_GB2312"/>
          <w:sz w:val="32"/>
          <w:szCs w:val="32"/>
        </w:rPr>
        <w:t>证件：</w:t>
      </w:r>
      <w:r>
        <w:rPr>
          <w:rFonts w:hint="eastAsia" w:ascii="仿宋_GB2312" w:eastAsia="仿宋_GB2312"/>
          <w:sz w:val="32"/>
          <w:szCs w:val="32"/>
          <w:lang w:eastAsia="zh-CN"/>
        </w:rPr>
        <w:t>授牌。</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0"/>
        <w:rPr>
          <w:rFonts w:hint="eastAsia" w:ascii="仿宋_GB2312" w:eastAsia="仿宋_GB2312"/>
          <w:sz w:val="32"/>
          <w:szCs w:val="32"/>
        </w:rPr>
      </w:pPr>
      <w:r>
        <w:rPr>
          <w:rFonts w:hint="eastAsia" w:ascii="仿宋_GB2312" w:eastAsia="仿宋_GB2312"/>
          <w:sz w:val="32"/>
          <w:szCs w:val="32"/>
        </w:rPr>
        <w:t>有效期限：</w:t>
      </w:r>
      <w:r>
        <w:rPr>
          <w:rFonts w:hint="default" w:ascii="仿宋_GB2312" w:hAnsi="仿宋_GB2312" w:eastAsia="仿宋_GB2312" w:cs="仿宋_GB2312"/>
          <w:sz w:val="32"/>
          <w:szCs w:val="32"/>
        </w:rPr>
        <w:t>按照《深圳市商务局瞪羚品牌认定办法（试行）</w:t>
      </w:r>
      <w:r>
        <w:rPr>
          <w:rFonts w:hint="default"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eastAsia="zh-CN"/>
        </w:rPr>
        <w:t>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、证件的法律效力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、收费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、年审或年检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六</w:t>
      </w:r>
      <w:r>
        <w:rPr>
          <w:rFonts w:hint="eastAsia" w:ascii="黑体" w:hAnsi="黑体" w:eastAsia="黑体"/>
          <w:sz w:val="32"/>
          <w:szCs w:val="32"/>
        </w:rPr>
        <w:t>、补充说明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我局从未委托任何单位和个人为企业代理申报事宜。请相关企业自主申报。我局将严格按照有关标准和程序受理申</w:t>
      </w:r>
      <w:r>
        <w:rPr>
          <w:rFonts w:hint="eastAsia" w:ascii="仿宋_GB2312" w:eastAsia="仿宋_GB2312"/>
          <w:sz w:val="32"/>
          <w:szCs w:val="32"/>
          <w:lang w:eastAsia="zh-CN"/>
        </w:rPr>
        <w:t>报</w:t>
      </w:r>
      <w:r>
        <w:rPr>
          <w:rFonts w:hint="eastAsia" w:ascii="仿宋_GB2312" w:eastAsia="仿宋_GB2312"/>
          <w:sz w:val="32"/>
          <w:szCs w:val="32"/>
        </w:rPr>
        <w:t>，不收取任何费用。如有任何中介机构和个人假借我局和工作人员名义向企业收取费用的，请知情者即向我局举报。</w:t>
      </w:r>
    </w:p>
    <w:sectPr>
      <w:footerReference r:id="rId3" w:type="default"/>
      <w:pgSz w:w="11906" w:h="16838"/>
      <w:pgMar w:top="1814" w:right="1474" w:bottom="181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A708C"/>
    <w:rsid w:val="0DFF44B4"/>
    <w:rsid w:val="13FE0BC6"/>
    <w:rsid w:val="1ABDEC4F"/>
    <w:rsid w:val="1BFFCBA1"/>
    <w:rsid w:val="2D3F32E9"/>
    <w:rsid w:val="2EFFF164"/>
    <w:rsid w:val="2FEF7A56"/>
    <w:rsid w:val="367D9C9D"/>
    <w:rsid w:val="3BFBEAAD"/>
    <w:rsid w:val="3CF6D6CE"/>
    <w:rsid w:val="3FB5B5D8"/>
    <w:rsid w:val="4BFF327D"/>
    <w:rsid w:val="4E2FE932"/>
    <w:rsid w:val="4F9FF5E0"/>
    <w:rsid w:val="4FB788CE"/>
    <w:rsid w:val="4FBE3F14"/>
    <w:rsid w:val="5BF5A3D3"/>
    <w:rsid w:val="5DDA708C"/>
    <w:rsid w:val="5E7FC6F4"/>
    <w:rsid w:val="5F2FB827"/>
    <w:rsid w:val="6356D3E7"/>
    <w:rsid w:val="676F0F34"/>
    <w:rsid w:val="69F33A28"/>
    <w:rsid w:val="6BAFF8B0"/>
    <w:rsid w:val="6DDF47FE"/>
    <w:rsid w:val="6EBF263C"/>
    <w:rsid w:val="6F5F00BD"/>
    <w:rsid w:val="6F7368B1"/>
    <w:rsid w:val="6F77D8E4"/>
    <w:rsid w:val="6FDF3BC2"/>
    <w:rsid w:val="6FFDC9C9"/>
    <w:rsid w:val="724B44B1"/>
    <w:rsid w:val="759F2A8A"/>
    <w:rsid w:val="7629E3DD"/>
    <w:rsid w:val="76E25D3C"/>
    <w:rsid w:val="77DF3A7D"/>
    <w:rsid w:val="79F5098E"/>
    <w:rsid w:val="7B7EB4EF"/>
    <w:rsid w:val="7BBFC467"/>
    <w:rsid w:val="7BEAB913"/>
    <w:rsid w:val="7BF4B4DB"/>
    <w:rsid w:val="7CFD47B1"/>
    <w:rsid w:val="7E559887"/>
    <w:rsid w:val="7E71926A"/>
    <w:rsid w:val="7E79881A"/>
    <w:rsid w:val="7F4772E3"/>
    <w:rsid w:val="7F5F16E6"/>
    <w:rsid w:val="7F6EA3E0"/>
    <w:rsid w:val="7F971F5F"/>
    <w:rsid w:val="7F9FCCAD"/>
    <w:rsid w:val="7FDE6BC5"/>
    <w:rsid w:val="7FEA837A"/>
    <w:rsid w:val="7FFE1D38"/>
    <w:rsid w:val="7FFE9758"/>
    <w:rsid w:val="7FFF563B"/>
    <w:rsid w:val="8EFFDD07"/>
    <w:rsid w:val="8FDFB217"/>
    <w:rsid w:val="8FFBB56D"/>
    <w:rsid w:val="A77941E9"/>
    <w:rsid w:val="A7A3AB78"/>
    <w:rsid w:val="B5BD2D8A"/>
    <w:rsid w:val="B73F091A"/>
    <w:rsid w:val="B7BEA9B4"/>
    <w:rsid w:val="BB5B6057"/>
    <w:rsid w:val="BD772DEC"/>
    <w:rsid w:val="BDC7406B"/>
    <w:rsid w:val="BEBF20C2"/>
    <w:rsid w:val="BEFF9EF4"/>
    <w:rsid w:val="BFB9E377"/>
    <w:rsid w:val="BFF1AE71"/>
    <w:rsid w:val="C93750E8"/>
    <w:rsid w:val="CF9F3306"/>
    <w:rsid w:val="CFF2D478"/>
    <w:rsid w:val="D17F984E"/>
    <w:rsid w:val="D736DE1D"/>
    <w:rsid w:val="D7D7599B"/>
    <w:rsid w:val="DB9B0973"/>
    <w:rsid w:val="DBF54ED9"/>
    <w:rsid w:val="DCBABCBC"/>
    <w:rsid w:val="DEF9E177"/>
    <w:rsid w:val="DF7F5820"/>
    <w:rsid w:val="DF8EA9D3"/>
    <w:rsid w:val="DF9F26F1"/>
    <w:rsid w:val="DFFD5333"/>
    <w:rsid w:val="E97BEEE7"/>
    <w:rsid w:val="E9F6A5B1"/>
    <w:rsid w:val="EBE7BC92"/>
    <w:rsid w:val="ED46619B"/>
    <w:rsid w:val="EECC8172"/>
    <w:rsid w:val="EEFD783D"/>
    <w:rsid w:val="EF6FB16E"/>
    <w:rsid w:val="EFEFBA83"/>
    <w:rsid w:val="F7753DE8"/>
    <w:rsid w:val="F7F3300A"/>
    <w:rsid w:val="F7F366B0"/>
    <w:rsid w:val="F9E95ACD"/>
    <w:rsid w:val="F9FA81E4"/>
    <w:rsid w:val="FADB82C3"/>
    <w:rsid w:val="FAF35A33"/>
    <w:rsid w:val="FBFE5BEE"/>
    <w:rsid w:val="FCB754CC"/>
    <w:rsid w:val="FD770B34"/>
    <w:rsid w:val="FDB50B03"/>
    <w:rsid w:val="FDCFF790"/>
    <w:rsid w:val="FDF730BB"/>
    <w:rsid w:val="FE7F8497"/>
    <w:rsid w:val="FEEFF6C7"/>
    <w:rsid w:val="FF77F33B"/>
    <w:rsid w:val="FF79EE3F"/>
    <w:rsid w:val="FF7D9110"/>
    <w:rsid w:val="FF7F99F5"/>
    <w:rsid w:val="FFAEDDEC"/>
    <w:rsid w:val="FFB57E8B"/>
    <w:rsid w:val="FFD7FDAA"/>
    <w:rsid w:val="FFFBF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4">
    <w:name w:val="annotation text"/>
    <w:basedOn w:val="1"/>
    <w:qFormat/>
    <w:uiPriority w:val="0"/>
    <w:pPr>
      <w:jc w:val="left"/>
    </w:pPr>
  </w:style>
  <w:style w:type="paragraph" w:styleId="5">
    <w:name w:val="Plain Text"/>
    <w:basedOn w:val="6"/>
    <w:qFormat/>
    <w:uiPriority w:val="0"/>
    <w:rPr>
      <w:rFonts w:ascii="宋体" w:hAnsi="Courier New" w:cs="Courier New"/>
    </w:rPr>
  </w:style>
  <w:style w:type="paragraph" w:customStyle="1" w:styleId="6">
    <w:name w:val="正文_0"/>
    <w:next w:val="5"/>
    <w:qFormat/>
    <w:uiPriority w:val="0"/>
    <w:pPr>
      <w:widowControl w:val="0"/>
      <w:jc w:val="both"/>
    </w:pPr>
    <w:rPr>
      <w:rFonts w:ascii="Calibri" w:hAnsi="Calibri" w:eastAsia="宋体" w:cs="Times New Roman"/>
      <w:kern w:val="2"/>
      <w:sz w:val="21"/>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ind w:firstLine="0" w:firstLineChars="0"/>
    </w:pPr>
    <w:rPr>
      <w:rFonts w:ascii="仿宋_GB2312" w:hAnsi="仿宋_GB2312" w:cs="仿宋_GB2312"/>
      <w:szCs w:val="3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widowControl/>
      <w:spacing w:before="60" w:line="432" w:lineRule="atLeast"/>
      <w:jc w:val="left"/>
    </w:pPr>
    <w:rPr>
      <w:rFonts w:ascii="宋体" w:hAnsi="宋体" w:cs="宋体"/>
      <w:kern w:val="0"/>
      <w:sz w:val="24"/>
    </w:rPr>
  </w:style>
  <w:style w:type="character" w:styleId="14">
    <w:name w:val="Hyperlink"/>
    <w:basedOn w:val="13"/>
    <w:qFormat/>
    <w:uiPriority w:val="0"/>
    <w:rPr>
      <w:color w:val="0000FF"/>
      <w:u w:val="single"/>
    </w:rPr>
  </w:style>
  <w:style w:type="character" w:styleId="15">
    <w:name w:val="footnote reference"/>
    <w:qFormat/>
    <w:uiPriority w:val="0"/>
    <w:rPr>
      <w:vertAlign w:val="superscript"/>
    </w:rPr>
  </w:style>
  <w:style w:type="paragraph" w:customStyle="1" w:styleId="16">
    <w:name w:val="文件标题"/>
    <w:basedOn w:val="1"/>
    <w:qFormat/>
    <w:uiPriority w:val="0"/>
    <w:pPr>
      <w:ind w:firstLine="0" w:firstLineChars="0"/>
      <w:jc w:val="center"/>
    </w:pPr>
    <w:rPr>
      <w:rFonts w:eastAsia="宋体"/>
      <w:b/>
      <w:sz w:val="36"/>
    </w:rPr>
  </w:style>
  <w:style w:type="paragraph" w:customStyle="1" w:styleId="17">
    <w:name w:val="文件正文"/>
    <w:basedOn w:val="9"/>
    <w:qFormat/>
    <w:uiPriority w:val="2"/>
    <w:pPr>
      <w:spacing w:line="560" w:lineRule="exact"/>
      <w:ind w:firstLine="622" w:firstLineChars="200"/>
    </w:pPr>
  </w:style>
  <w:style w:type="paragraph" w:customStyle="1" w:styleId="18">
    <w:name w:val="_Style 1"/>
    <w:basedOn w:val="6"/>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2022-03-14T07:01:00Z</dcterms:created>
  <dc:creator>86151</dc:creator>
  <cp:lastModifiedBy>网站运维(陈梓标)</cp:lastModifiedBy>
  <dcterms:modified xsi:type="dcterms:W3CDTF">2023-04-07T09:29:51Z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