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2023年一季度刺激零售业指标增长措施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（零售业销售归集奖项目）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eastAsia="zh-CN"/>
        </w:rPr>
        <w:t>2023年一季度刺激零售业指标增长措施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val="en-US" w:eastAsia="zh-CN"/>
        </w:rPr>
        <w:t>零售业销售归集奖项目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2023年一季度刺激零售业指标增长措施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资金</w:t>
      </w:r>
      <w:r>
        <w:rPr>
          <w:rFonts w:hint="eastAsia" w:ascii="宋体" w:hAnsi="宋体"/>
          <w:sz w:val="24"/>
          <w:szCs w:val="22"/>
          <w:highlight w:val="none"/>
        </w:rPr>
        <w:t>而提交，本单位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已对所有申请资料自行备份留底。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215"/>
        <w:gridCol w:w="1900"/>
        <w:gridCol w:w="2433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零售业销售归集奖项目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支持辖区零售业主体将区外加盟店的销售数据归集到盐田，按每归集30万元补贴1万的标准进行扶持，最高100万元。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45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2023年1-3月销售额（万元）</w:t>
            </w:r>
          </w:p>
        </w:tc>
        <w:tc>
          <w:tcPr>
            <w:tcW w:w="40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26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2023年1-3月加盟店合计归集到企业的销售额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4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widowControl/>
        <w:jc w:val="both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申报主体法定代表人身份证复印件（签字并盖公章），或法人委托书原件及代理人身份证复印件（法人及代理人签字并盖公章）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（加盖公章）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bookmarkStart w:id="0" w:name="_GoBack"/>
      <w:bookmarkEnd w:id="0"/>
    </w:p>
    <w:p>
      <w:pPr>
        <w:rPr>
          <w:highlight w:val="none"/>
        </w:rPr>
      </w:pPr>
    </w:p>
    <w:p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8697815"/>
    <w:rsid w:val="324A7BEA"/>
    <w:rsid w:val="37002A12"/>
    <w:rsid w:val="42E233A2"/>
    <w:rsid w:val="4A1947CF"/>
    <w:rsid w:val="59E2749B"/>
    <w:rsid w:val="7B7D5A96"/>
    <w:rsid w:val="7FFB9A14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林双宁</cp:lastModifiedBy>
  <dcterms:modified xsi:type="dcterms:W3CDTF">2023-05-05T08:38:40Z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