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pStyle w:val="2"/>
      </w:pP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jc w:val="center"/>
        <w:textAlignment w:val="baseline"/>
        <w:rPr>
          <w:rFonts w:hint="eastAsia" w:ascii="方正小标宋简体" w:hAnsi="方正小标宋简体" w:eastAsia="方正小标宋简体" w:cs="方正小标宋简体"/>
          <w:b w:val="0"/>
          <w:i w:val="0"/>
          <w:caps w:val="0"/>
          <w:color w:val="auto"/>
          <w:spacing w:val="0"/>
          <w:w w:val="100"/>
          <w:sz w:val="44"/>
          <w:szCs w:val="44"/>
          <w:lang w:val="en-US" w:eastAsia="zh-CN"/>
        </w:rPr>
      </w:pPr>
      <w:bookmarkStart w:id="0" w:name="_GoBack"/>
      <w:r>
        <w:rPr>
          <w:rFonts w:hint="eastAsia" w:ascii="方正小标宋简体" w:hAnsi="方正小标宋简体" w:eastAsia="方正小标宋简体" w:cs="方正小标宋简体"/>
          <w:b w:val="0"/>
          <w:i w:val="0"/>
          <w:caps w:val="0"/>
          <w:color w:val="auto"/>
          <w:spacing w:val="0"/>
          <w:w w:val="100"/>
          <w:sz w:val="44"/>
          <w:szCs w:val="44"/>
          <w:lang w:val="en-US" w:eastAsia="zh-CN"/>
        </w:rPr>
        <w:t>《深圳市科技计划管理改革</w:t>
      </w:r>
      <w:r>
        <w:rPr>
          <w:rFonts w:hint="default" w:ascii="方正小标宋简体" w:hAnsi="方正小标宋简体" w:eastAsia="方正小标宋简体" w:cs="方正小标宋简体"/>
          <w:b w:val="0"/>
          <w:i w:val="0"/>
          <w:caps w:val="0"/>
          <w:color w:val="auto"/>
          <w:spacing w:val="0"/>
          <w:w w:val="100"/>
          <w:sz w:val="44"/>
          <w:szCs w:val="44"/>
          <w:lang w:eastAsia="zh-CN"/>
        </w:rPr>
        <w:t>优化</w:t>
      </w:r>
      <w:r>
        <w:rPr>
          <w:rFonts w:hint="eastAsia" w:ascii="方正小标宋简体" w:hAnsi="方正小标宋简体" w:eastAsia="方正小标宋简体" w:cs="方正小标宋简体"/>
          <w:b w:val="0"/>
          <w:i w:val="0"/>
          <w:caps w:val="0"/>
          <w:color w:val="auto"/>
          <w:spacing w:val="0"/>
          <w:w w:val="100"/>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jc w:val="center"/>
        <w:textAlignment w:val="baseline"/>
        <w:rPr>
          <w:rFonts w:hint="eastAsia" w:ascii="Times New Roman" w:hAnsi="Times New Roman" w:eastAsia="仿宋_GB2312" w:cs="Times New Roman"/>
          <w:color w:val="auto"/>
          <w:sz w:val="32"/>
          <w:szCs w:val="20"/>
          <w:lang w:val="en-US" w:eastAsia="zh-CN"/>
        </w:rPr>
      </w:pPr>
      <w:r>
        <w:rPr>
          <w:rFonts w:hint="eastAsia" w:ascii="方正小标宋简体" w:hAnsi="方正小标宋简体" w:eastAsia="方正小标宋简体" w:cs="方正小标宋简体"/>
          <w:b w:val="0"/>
          <w:i w:val="0"/>
          <w:caps w:val="0"/>
          <w:color w:val="auto"/>
          <w:spacing w:val="0"/>
          <w:w w:val="100"/>
          <w:sz w:val="44"/>
          <w:szCs w:val="44"/>
          <w:lang w:val="en-US" w:eastAsia="zh-CN"/>
        </w:rPr>
        <w:t>（征求意见稿）》编制说明</w:t>
      </w:r>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val="0"/>
          <w:bCs w:val="0"/>
          <w:color w:val="auto"/>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一、编制背景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z w:val="32"/>
          <w:szCs w:val="32"/>
          <w:lang w:eastAsia="zh-CN"/>
        </w:rPr>
      </w:pPr>
      <w:r>
        <w:rPr>
          <w:rFonts w:hint="default"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eastAsia="zh-CN"/>
        </w:rPr>
        <w:t>一</w:t>
      </w:r>
      <w:r>
        <w:rPr>
          <w:rFonts w:hint="default" w:ascii="楷体" w:hAnsi="楷体" w:eastAsia="楷体" w:cs="楷体"/>
          <w:b w:val="0"/>
          <w:bCs w:val="0"/>
          <w:color w:val="auto"/>
          <w:sz w:val="32"/>
          <w:szCs w:val="32"/>
          <w:lang w:eastAsia="zh-CN"/>
        </w:rPr>
        <w:t>）国家省市相关</w:t>
      </w:r>
      <w:r>
        <w:rPr>
          <w:rFonts w:hint="eastAsia" w:ascii="楷体" w:hAnsi="楷体" w:eastAsia="楷体" w:cs="楷体"/>
          <w:b w:val="0"/>
          <w:bCs w:val="0"/>
          <w:color w:val="auto"/>
          <w:sz w:val="32"/>
          <w:szCs w:val="32"/>
          <w:lang w:eastAsia="zh-CN"/>
        </w:rPr>
        <w:t>要求</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党的十九大以来，习近平总书记强调</w:t>
      </w:r>
      <w:r>
        <w:rPr>
          <w:rFonts w:hint="eastAsia" w:ascii="仿宋_GB2312" w:hAnsi="仿宋_GB2312" w:eastAsia="仿宋_GB2312" w:cs="仿宋_GB2312"/>
          <w:b w:val="0"/>
          <w:i w:val="0"/>
          <w:caps w:val="0"/>
          <w:color w:val="auto"/>
          <w:spacing w:val="0"/>
          <w:w w:val="100"/>
          <w:kern w:val="2"/>
          <w:sz w:val="32"/>
          <w:szCs w:val="32"/>
          <w:highlight w:val="none"/>
          <w:lang w:eastAsia="zh-CN" w:bidi="ar-SA"/>
        </w:rPr>
        <w:t>，</w:t>
      </w:r>
      <w:r>
        <w:rPr>
          <w:rFonts w:hint="eastAsia" w:ascii="仿宋_GB2312" w:hAnsi="仿宋_GB2312" w:eastAsia="仿宋_GB2312" w:cs="仿宋_GB2312"/>
          <w:b w:val="0"/>
          <w:i w:val="0"/>
          <w:caps w:val="0"/>
          <w:color w:val="auto"/>
          <w:spacing w:val="0"/>
          <w:w w:val="100"/>
          <w:sz w:val="32"/>
          <w:szCs w:val="32"/>
          <w:highlight w:val="none"/>
          <w:lang w:val="en-US" w:eastAsia="zh-CN"/>
        </w:rPr>
        <w:t>“科技领域是最需要不断改革的领域，必须坚持科技创新和制度创新双轮驱动”。</w:t>
      </w:r>
      <w:r>
        <w:rPr>
          <w:rFonts w:hint="eastAsia" w:ascii="仿宋_GB2312" w:hAnsi="仿宋_GB2312" w:eastAsia="仿宋_GB2312" w:cs="仿宋_GB2312"/>
          <w:i w:val="0"/>
          <w:caps w:val="0"/>
          <w:color w:val="auto"/>
          <w:spacing w:val="0"/>
          <w:kern w:val="2"/>
          <w:sz w:val="32"/>
          <w:szCs w:val="32"/>
          <w:highlight w:val="none"/>
          <w:shd w:val="clear" w:color="auto" w:fill="auto"/>
          <w:lang w:eastAsia="zh-CN" w:bidi="ar-SA"/>
        </w:rPr>
        <w:t>党的二十大报告指出，“要</w:t>
      </w:r>
      <w:r>
        <w:rPr>
          <w:rFonts w:hint="eastAsia" w:ascii="仿宋_GB2312" w:hAnsi="仿宋_GB2312" w:eastAsia="仿宋_GB2312" w:cs="仿宋_GB2312"/>
          <w:caps w:val="0"/>
          <w:color w:val="auto"/>
          <w:spacing w:val="0"/>
          <w:sz w:val="32"/>
          <w:szCs w:val="32"/>
          <w:highlight w:val="none"/>
        </w:rPr>
        <w:t>深入实施科教兴国战略、</w:t>
      </w:r>
      <w:r>
        <w:rPr>
          <w:rFonts w:hint="default" w:ascii="仿宋_GB2312" w:hAnsi="仿宋_GB2312" w:eastAsia="仿宋_GB2312" w:cs="仿宋_GB2312"/>
          <w:b w:val="0"/>
          <w:i w:val="0"/>
          <w:caps w:val="0"/>
          <w:color w:val="auto"/>
          <w:spacing w:val="0"/>
          <w:w w:val="100"/>
          <w:sz w:val="32"/>
          <w:szCs w:val="32"/>
          <w:highlight w:val="none"/>
          <w:lang w:val="en-US" w:eastAsia="zh-CN"/>
        </w:rPr>
        <w:t>人才强国战略、创新驱动发展战略”。近年来，国家省市层面提出，要深化科技体制机制改革，完善科技创新体系，强化国家战略科技力量，优化配置创新资源，优化科研机构、高水平研究型大学、科技领军企业定位和布局，加强科技基础能力建设，强化科技战略咨询，持续推进关键核心技术攻关，深化产学研用结合，促进科技成果转移转化，强化企业创新主体地位，发挥科技型骨干企业引领支撑作用，营造有利于科技型中小微企业成长的良好环境，推动创新链产业链资金链人才链深度融合，提升科技投入效能，深化财政科技经费分配使用机制改革，激发创新活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lang w:val="en-US" w:eastAsia="zh-CN"/>
        </w:rPr>
        <w:t>现行科技</w:t>
      </w:r>
      <w:r>
        <w:rPr>
          <w:rFonts w:hint="eastAsia" w:ascii="楷体" w:hAnsi="楷体" w:eastAsia="楷体" w:cs="楷体"/>
          <w:b w:val="0"/>
          <w:bCs w:val="0"/>
          <w:color w:val="auto"/>
          <w:sz w:val="32"/>
          <w:szCs w:val="32"/>
          <w:lang w:eastAsia="zh-CN"/>
        </w:rPr>
        <w:t>计划</w:t>
      </w:r>
      <w:r>
        <w:rPr>
          <w:rFonts w:hint="eastAsia" w:ascii="楷体" w:hAnsi="楷体" w:eastAsia="楷体" w:cs="楷体"/>
          <w:b w:val="0"/>
          <w:bCs w:val="0"/>
          <w:color w:val="auto"/>
          <w:sz w:val="32"/>
          <w:szCs w:val="32"/>
          <w:lang w:val="en-US" w:eastAsia="zh-CN"/>
        </w:rPr>
        <w:t>执行</w:t>
      </w:r>
      <w:r>
        <w:rPr>
          <w:rFonts w:hint="eastAsia" w:ascii="楷体" w:hAnsi="楷体" w:eastAsia="楷体" w:cs="楷体"/>
          <w:b w:val="0"/>
          <w:bCs w:val="0"/>
          <w:color w:val="auto"/>
          <w:sz w:val="32"/>
          <w:szCs w:val="32"/>
          <w:lang w:eastAsia="zh-CN"/>
        </w:rPr>
        <w:t>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2019年7月，市政府印发《深圳市科技计划管理改革方案》（深府〔2019〕1号，以下简称《改革方案》），确立“一类科研资金、五大专项、二十四个类别”的计划体系框架，</w:t>
      </w:r>
      <w:r>
        <w:rPr>
          <w:rFonts w:hint="default" w:ascii="仿宋_GB2312" w:hAnsi="仿宋_GB2312" w:eastAsia="仿宋_GB2312" w:cs="仿宋_GB2312"/>
          <w:b w:val="0"/>
          <w:i w:val="0"/>
          <w:caps w:val="0"/>
          <w:color w:val="auto"/>
          <w:spacing w:val="0"/>
          <w:w w:val="100"/>
          <w:sz w:val="32"/>
          <w:szCs w:val="32"/>
          <w:highlight w:val="none"/>
          <w:lang w:val="en-US" w:eastAsia="zh-CN"/>
        </w:rPr>
        <w:t>现行科技计划</w:t>
      </w:r>
      <w:r>
        <w:rPr>
          <w:rFonts w:hint="eastAsia" w:ascii="仿宋_GB2312" w:hAnsi="仿宋_GB2312" w:eastAsia="仿宋_GB2312" w:cs="仿宋_GB2312"/>
          <w:b w:val="0"/>
          <w:i w:val="0"/>
          <w:caps w:val="0"/>
          <w:color w:val="auto"/>
          <w:spacing w:val="0"/>
          <w:w w:val="100"/>
          <w:sz w:val="32"/>
          <w:szCs w:val="32"/>
          <w:highlight w:val="none"/>
          <w:lang w:val="en-US" w:eastAsia="zh-CN"/>
        </w:rPr>
        <w:t>为增强全市科技实力</w:t>
      </w:r>
      <w:r>
        <w:rPr>
          <w:rFonts w:hint="default" w:ascii="仿宋_GB2312" w:hAnsi="仿宋_GB2312" w:eastAsia="仿宋_GB2312" w:cs="仿宋_GB2312"/>
          <w:b w:val="0"/>
          <w:i w:val="0"/>
          <w:caps w:val="0"/>
          <w:color w:val="auto"/>
          <w:spacing w:val="0"/>
          <w:w w:val="100"/>
          <w:sz w:val="32"/>
          <w:szCs w:val="32"/>
          <w:highlight w:val="none"/>
          <w:lang w:val="en-US" w:eastAsia="zh-CN"/>
        </w:rPr>
        <w:t>、营造良好的科技创新环境、</w:t>
      </w:r>
      <w:r>
        <w:rPr>
          <w:rFonts w:hint="eastAsia" w:ascii="仿宋_GB2312" w:hAnsi="仿宋_GB2312" w:eastAsia="仿宋_GB2312" w:cs="仿宋_GB2312"/>
          <w:b w:val="0"/>
          <w:i w:val="0"/>
          <w:caps w:val="0"/>
          <w:color w:val="auto"/>
          <w:spacing w:val="0"/>
          <w:w w:val="100"/>
          <w:sz w:val="32"/>
          <w:szCs w:val="32"/>
          <w:highlight w:val="none"/>
          <w:lang w:val="en-US" w:eastAsia="zh-CN"/>
        </w:rPr>
        <w:t>促进经济社会发展发挥了重要作用。同时也要看到，部分计划存在资源配置不够聚焦、实施效益不够高等问题，不能完全适应创新驱动发展战略要求。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存在问题</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结合近年科技计划实施情况，我们发现</w:t>
      </w:r>
      <w:r>
        <w:rPr>
          <w:rFonts w:hint="default" w:ascii="仿宋_GB2312" w:hAnsi="仿宋_GB2312" w:eastAsia="仿宋_GB2312" w:cs="仿宋_GB2312"/>
          <w:b w:val="0"/>
          <w:i w:val="0"/>
          <w:caps w:val="0"/>
          <w:color w:val="auto"/>
          <w:spacing w:val="0"/>
          <w:w w:val="100"/>
          <w:sz w:val="32"/>
          <w:szCs w:val="32"/>
          <w:highlight w:val="none"/>
          <w:lang w:val="en-US" w:eastAsia="zh-CN"/>
        </w:rPr>
        <w:t>现行科技</w:t>
      </w:r>
      <w:r>
        <w:rPr>
          <w:rFonts w:hint="eastAsia" w:ascii="仿宋_GB2312" w:hAnsi="仿宋_GB2312" w:eastAsia="仿宋_GB2312" w:cs="仿宋_GB2312"/>
          <w:b w:val="0"/>
          <w:i w:val="0"/>
          <w:caps w:val="0"/>
          <w:color w:val="auto"/>
          <w:spacing w:val="0"/>
          <w:w w:val="100"/>
          <w:sz w:val="32"/>
          <w:szCs w:val="32"/>
          <w:highlight w:val="none"/>
          <w:lang w:val="en-US" w:eastAsia="zh-CN"/>
        </w:rPr>
        <w:t>计划</w:t>
      </w:r>
      <w:r>
        <w:rPr>
          <w:rFonts w:hint="default" w:ascii="仿宋_GB2312" w:hAnsi="仿宋_GB2312" w:eastAsia="仿宋_GB2312" w:cs="仿宋_GB2312"/>
          <w:b w:val="0"/>
          <w:i w:val="0"/>
          <w:caps w:val="0"/>
          <w:color w:val="auto"/>
          <w:spacing w:val="0"/>
          <w:w w:val="100"/>
          <w:sz w:val="32"/>
          <w:szCs w:val="32"/>
          <w:highlight w:val="none"/>
          <w:lang w:val="en-US" w:eastAsia="zh-CN"/>
        </w:rPr>
        <w:t>管理也</w:t>
      </w:r>
      <w:r>
        <w:rPr>
          <w:rFonts w:hint="eastAsia" w:ascii="仿宋_GB2312" w:hAnsi="仿宋_GB2312" w:eastAsia="仿宋_GB2312" w:cs="仿宋_GB2312"/>
          <w:b w:val="0"/>
          <w:i w:val="0"/>
          <w:caps w:val="0"/>
          <w:color w:val="auto"/>
          <w:spacing w:val="0"/>
          <w:w w:val="100"/>
          <w:sz w:val="32"/>
          <w:szCs w:val="32"/>
          <w:highlight w:val="none"/>
          <w:lang w:val="en-US" w:eastAsia="zh-CN"/>
        </w:rPr>
        <w:t>存在</w:t>
      </w:r>
      <w:r>
        <w:rPr>
          <w:rFonts w:hint="default" w:ascii="仿宋_GB2312" w:hAnsi="仿宋_GB2312" w:eastAsia="仿宋_GB2312" w:cs="仿宋_GB2312"/>
          <w:b w:val="0"/>
          <w:i w:val="0"/>
          <w:caps w:val="0"/>
          <w:color w:val="auto"/>
          <w:spacing w:val="0"/>
          <w:w w:val="100"/>
          <w:sz w:val="32"/>
          <w:szCs w:val="32"/>
          <w:highlight w:val="none"/>
          <w:lang w:val="en-US" w:eastAsia="zh-CN"/>
        </w:rPr>
        <w:t>许多</w:t>
      </w:r>
      <w:r>
        <w:rPr>
          <w:rFonts w:hint="eastAsia" w:ascii="仿宋_GB2312" w:hAnsi="仿宋_GB2312" w:eastAsia="仿宋_GB2312" w:cs="仿宋_GB2312"/>
          <w:b w:val="0"/>
          <w:i w:val="0"/>
          <w:caps w:val="0"/>
          <w:color w:val="auto"/>
          <w:spacing w:val="0"/>
          <w:w w:val="100"/>
          <w:sz w:val="32"/>
          <w:szCs w:val="32"/>
          <w:highlight w:val="none"/>
          <w:lang w:val="en-US" w:eastAsia="zh-CN"/>
        </w:rPr>
        <w:t>不足</w:t>
      </w:r>
      <w:r>
        <w:rPr>
          <w:rFonts w:hint="default" w:ascii="仿宋_GB2312" w:hAnsi="仿宋_GB2312" w:eastAsia="仿宋_GB2312" w:cs="仿宋_GB2312"/>
          <w:b w:val="0"/>
          <w:i w:val="0"/>
          <w:caps w:val="0"/>
          <w:color w:val="auto"/>
          <w:spacing w:val="0"/>
          <w:w w:val="100"/>
          <w:sz w:val="32"/>
          <w:szCs w:val="32"/>
          <w:highlight w:val="none"/>
          <w:lang w:val="en-US" w:eastAsia="zh-CN"/>
        </w:rPr>
        <w:t>。</w:t>
      </w:r>
      <w:r>
        <w:rPr>
          <w:rFonts w:hint="default" w:ascii="仿宋_GB2312" w:hAnsi="仿宋_GB2312" w:eastAsia="仿宋_GB2312" w:cs="仿宋_GB2312"/>
          <w:b/>
          <w:bCs/>
          <w:i w:val="0"/>
          <w:caps w:val="0"/>
          <w:color w:val="auto"/>
          <w:spacing w:val="0"/>
          <w:w w:val="100"/>
          <w:kern w:val="2"/>
          <w:sz w:val="32"/>
          <w:szCs w:val="32"/>
          <w:lang w:val="en-US" w:eastAsia="zh-CN" w:bidi="ar-SA"/>
        </w:rPr>
        <w:t>一是计划效益有待提升</w:t>
      </w:r>
      <w:r>
        <w:rPr>
          <w:rFonts w:hint="eastAsia" w:ascii="仿宋_GB2312" w:hAnsi="仿宋_GB2312" w:eastAsia="仿宋_GB2312" w:cs="仿宋_GB2312"/>
          <w:b/>
          <w:bCs/>
          <w:i w:val="0"/>
          <w:caps w:val="0"/>
          <w:color w:val="auto"/>
          <w:spacing w:val="0"/>
          <w:w w:val="100"/>
          <w:kern w:val="2"/>
          <w:sz w:val="32"/>
          <w:szCs w:val="32"/>
          <w:lang w:val="en-US" w:eastAsia="zh-CN" w:bidi="ar-SA"/>
        </w:rPr>
        <w:t>。</w:t>
      </w:r>
      <w:r>
        <w:rPr>
          <w:rFonts w:hint="eastAsia" w:ascii="仿宋_GB2312" w:hAnsi="仿宋_GB2312" w:eastAsia="仿宋_GB2312" w:cs="仿宋_GB2312"/>
          <w:b w:val="0"/>
          <w:i w:val="0"/>
          <w:caps w:val="0"/>
          <w:color w:val="auto"/>
          <w:spacing w:val="0"/>
          <w:w w:val="100"/>
          <w:sz w:val="32"/>
          <w:szCs w:val="32"/>
          <w:highlight w:val="none"/>
          <w:lang w:val="en-US" w:eastAsia="zh-CN"/>
        </w:rPr>
        <w:t>部分科技计划立项数量巨大、资助对象不够精准</w:t>
      </w:r>
      <w:r>
        <w:rPr>
          <w:rFonts w:hint="default"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lang w:val="en-US" w:eastAsia="zh-CN"/>
        </w:rPr>
        <w:t>部分科技计划支持额度小、</w:t>
      </w:r>
      <w:r>
        <w:rPr>
          <w:rFonts w:hint="eastAsia" w:ascii="仿宋_GB2312" w:hAnsi="仿宋_GB2312" w:cs="仿宋_GB2312"/>
          <w:b w:val="0"/>
          <w:i w:val="0"/>
          <w:caps w:val="0"/>
          <w:color w:val="auto"/>
          <w:spacing w:val="0"/>
          <w:w w:val="100"/>
          <w:sz w:val="32"/>
          <w:szCs w:val="32"/>
          <w:highlight w:val="none"/>
          <w:lang w:val="en-US" w:eastAsia="zh-CN"/>
        </w:rPr>
        <w:t>整体</w:t>
      </w:r>
      <w:r>
        <w:rPr>
          <w:rFonts w:hint="eastAsia" w:ascii="仿宋_GB2312" w:hAnsi="仿宋_GB2312" w:eastAsia="仿宋_GB2312" w:cs="仿宋_GB2312"/>
          <w:b w:val="0"/>
          <w:i w:val="0"/>
          <w:caps w:val="0"/>
          <w:color w:val="auto"/>
          <w:spacing w:val="0"/>
          <w:w w:val="100"/>
          <w:sz w:val="32"/>
          <w:szCs w:val="32"/>
          <w:highlight w:val="none"/>
          <w:lang w:val="en-US" w:eastAsia="zh-CN"/>
        </w:rPr>
        <w:t>效益偏低。</w:t>
      </w:r>
      <w:r>
        <w:rPr>
          <w:rFonts w:hint="default" w:ascii="仿宋_GB2312" w:hAnsi="仿宋_GB2312" w:eastAsia="仿宋_GB2312" w:cs="仿宋_GB2312"/>
          <w:b/>
          <w:bCs/>
          <w:i w:val="0"/>
          <w:caps w:val="0"/>
          <w:color w:val="auto"/>
          <w:spacing w:val="0"/>
          <w:w w:val="100"/>
          <w:kern w:val="2"/>
          <w:sz w:val="32"/>
          <w:szCs w:val="32"/>
          <w:lang w:val="en-US" w:eastAsia="zh-CN" w:bidi="ar-SA"/>
        </w:rPr>
        <w:t>二是全过程创新生态链有待深化。</w:t>
      </w:r>
      <w:r>
        <w:rPr>
          <w:rFonts w:hint="eastAsia" w:ascii="仿宋_GB2312" w:hAnsi="仿宋_GB2312" w:eastAsia="仿宋_GB2312" w:cs="仿宋_GB2312"/>
          <w:b w:val="0"/>
          <w:i w:val="0"/>
          <w:caps w:val="0"/>
          <w:color w:val="auto"/>
          <w:spacing w:val="0"/>
          <w:w w:val="100"/>
          <w:sz w:val="32"/>
          <w:szCs w:val="32"/>
          <w:highlight w:val="none"/>
          <w:lang w:val="en-US" w:eastAsia="zh-CN"/>
        </w:rPr>
        <w:t>科技金融</w:t>
      </w:r>
      <w:r>
        <w:rPr>
          <w:rFonts w:hint="default" w:ascii="仿宋_GB2312" w:hAnsi="仿宋_GB2312" w:eastAsia="仿宋_GB2312" w:cs="仿宋_GB2312"/>
          <w:b w:val="0"/>
          <w:i w:val="0"/>
          <w:caps w:val="0"/>
          <w:color w:val="auto"/>
          <w:spacing w:val="0"/>
          <w:w w:val="100"/>
          <w:sz w:val="32"/>
          <w:szCs w:val="32"/>
          <w:highlight w:val="none"/>
          <w:lang w:val="en-US" w:eastAsia="zh-CN"/>
        </w:rPr>
        <w:t>支持偏薄弱，</w:t>
      </w:r>
      <w:r>
        <w:rPr>
          <w:rFonts w:hint="eastAsia" w:ascii="仿宋_GB2312" w:hAnsi="仿宋_GB2312" w:eastAsia="仿宋_GB2312" w:cs="仿宋_GB2312"/>
          <w:b w:val="0"/>
          <w:i w:val="0"/>
          <w:caps w:val="0"/>
          <w:color w:val="auto"/>
          <w:spacing w:val="0"/>
          <w:w w:val="100"/>
          <w:sz w:val="32"/>
          <w:szCs w:val="32"/>
          <w:highlight w:val="none"/>
          <w:lang w:val="en-US" w:eastAsia="zh-CN"/>
        </w:rPr>
        <w:t>科技成果产业化</w:t>
      </w:r>
      <w:r>
        <w:rPr>
          <w:rFonts w:hint="default" w:ascii="仿宋_GB2312" w:hAnsi="仿宋_GB2312" w:eastAsia="仿宋_GB2312" w:cs="仿宋_GB2312"/>
          <w:b w:val="0"/>
          <w:i w:val="0"/>
          <w:caps w:val="0"/>
          <w:color w:val="auto"/>
          <w:spacing w:val="0"/>
          <w:w w:val="100"/>
          <w:sz w:val="32"/>
          <w:szCs w:val="32"/>
          <w:highlight w:val="none"/>
          <w:lang w:val="en-US" w:eastAsia="zh-CN"/>
        </w:rPr>
        <w:t>仍存在</w:t>
      </w:r>
      <w:r>
        <w:rPr>
          <w:rFonts w:hint="eastAsia" w:ascii="仿宋_GB2312" w:hAnsi="仿宋_GB2312" w:eastAsia="仿宋_GB2312" w:cs="仿宋_GB2312"/>
          <w:b w:val="0"/>
          <w:i w:val="0"/>
          <w:caps w:val="0"/>
          <w:color w:val="auto"/>
          <w:spacing w:val="0"/>
          <w:w w:val="100"/>
          <w:sz w:val="32"/>
          <w:szCs w:val="32"/>
          <w:highlight w:val="none"/>
          <w:lang w:val="en-US" w:eastAsia="zh-CN"/>
        </w:rPr>
        <w:t>服务支撑不完善、动力不足等问题</w:t>
      </w:r>
      <w:r>
        <w:rPr>
          <w:rFonts w:hint="default" w:ascii="仿宋_GB2312" w:hAnsi="仿宋_GB2312" w:eastAsia="仿宋_GB2312" w:cs="仿宋_GB2312"/>
          <w:b w:val="0"/>
          <w:i w:val="0"/>
          <w:caps w:val="0"/>
          <w:color w:val="auto"/>
          <w:spacing w:val="0"/>
          <w:w w:val="100"/>
          <w:sz w:val="32"/>
          <w:szCs w:val="32"/>
          <w:highlight w:val="none"/>
          <w:lang w:val="en-US" w:eastAsia="zh-CN"/>
        </w:rPr>
        <w:t>。</w:t>
      </w:r>
      <w:r>
        <w:rPr>
          <w:rFonts w:hint="eastAsia" w:ascii="仿宋_GB2312" w:hAnsi="仿宋_GB2312" w:eastAsia="仿宋_GB2312" w:cs="仿宋_GB2312"/>
          <w:b w:val="0"/>
          <w:i w:val="0"/>
          <w:caps w:val="0"/>
          <w:color w:val="auto"/>
          <w:spacing w:val="0"/>
          <w:w w:val="100"/>
          <w:sz w:val="32"/>
          <w:szCs w:val="32"/>
          <w:highlight w:val="none"/>
          <w:lang w:val="en-US" w:eastAsia="zh-CN"/>
        </w:rPr>
        <w:t>市财政资金带动社会资源投入科技领域的撬动放大作用不够凸显，市区共同投入的联动机制有待加强</w:t>
      </w:r>
      <w:r>
        <w:rPr>
          <w:rFonts w:hint="default" w:ascii="仿宋_GB2312" w:hAnsi="仿宋_GB2312" w:eastAsia="仿宋_GB2312" w:cs="仿宋_GB2312"/>
          <w:b w:val="0"/>
          <w:i w:val="0"/>
          <w:caps w:val="0"/>
          <w:color w:val="auto"/>
          <w:spacing w:val="0"/>
          <w:w w:val="100"/>
          <w:sz w:val="32"/>
          <w:szCs w:val="32"/>
          <w:highlight w:val="none"/>
          <w:lang w:val="en-US" w:eastAsia="zh-CN"/>
        </w:rPr>
        <w:t>。</w:t>
      </w:r>
      <w:r>
        <w:rPr>
          <w:rFonts w:hint="default" w:ascii="仿宋_GB2312" w:hAnsi="仿宋_GB2312" w:eastAsia="仿宋_GB2312" w:cs="仿宋_GB2312"/>
          <w:b/>
          <w:bCs/>
          <w:i w:val="0"/>
          <w:caps w:val="0"/>
          <w:color w:val="auto"/>
          <w:spacing w:val="0"/>
          <w:w w:val="100"/>
          <w:kern w:val="2"/>
          <w:sz w:val="32"/>
          <w:szCs w:val="32"/>
          <w:lang w:val="en-US" w:eastAsia="zh-CN" w:bidi="ar-SA"/>
        </w:rPr>
        <w:t>三是重点任务支持有待加强。</w:t>
      </w:r>
      <w:r>
        <w:rPr>
          <w:rFonts w:hint="eastAsia" w:ascii="仿宋_GB2312" w:hAnsi="仿宋_GB2312" w:eastAsia="仿宋_GB2312" w:cs="仿宋_GB2312"/>
          <w:b w:val="0"/>
          <w:i w:val="0"/>
          <w:caps w:val="0"/>
          <w:color w:val="auto"/>
          <w:spacing w:val="0"/>
          <w:w w:val="100"/>
          <w:sz w:val="32"/>
          <w:szCs w:val="32"/>
          <w:highlight w:val="none"/>
          <w:lang w:val="en-US" w:eastAsia="zh-CN"/>
        </w:rPr>
        <w:t>深圳市</w:t>
      </w:r>
      <w:r>
        <w:rPr>
          <w:rFonts w:hint="default" w:ascii="仿宋_GB2312" w:hAnsi="仿宋_GB2312" w:eastAsia="仿宋_GB2312" w:cs="仿宋_GB2312"/>
          <w:b w:val="0"/>
          <w:i w:val="0"/>
          <w:caps w:val="0"/>
          <w:color w:val="auto"/>
          <w:spacing w:val="0"/>
          <w:w w:val="100"/>
          <w:sz w:val="32"/>
          <w:szCs w:val="32"/>
          <w:highlight w:val="none"/>
          <w:lang w:val="en-US" w:eastAsia="zh-CN"/>
        </w:rPr>
        <w:t>重大战略</w:t>
      </w:r>
      <w:r>
        <w:rPr>
          <w:rFonts w:hint="eastAsia" w:ascii="仿宋_GB2312" w:hAnsi="仿宋_GB2312" w:eastAsia="仿宋_GB2312" w:cs="仿宋_GB2312"/>
          <w:b w:val="0"/>
          <w:i w:val="0"/>
          <w:caps w:val="0"/>
          <w:color w:val="auto"/>
          <w:spacing w:val="0"/>
          <w:w w:val="100"/>
          <w:sz w:val="32"/>
          <w:szCs w:val="32"/>
          <w:highlight w:val="none"/>
          <w:lang w:val="en-US" w:eastAsia="zh-CN"/>
        </w:rPr>
        <w:t>平台</w:t>
      </w:r>
      <w:r>
        <w:rPr>
          <w:rFonts w:hint="default" w:ascii="仿宋_GB2312" w:hAnsi="仿宋_GB2312" w:eastAsia="仿宋_GB2312" w:cs="仿宋_GB2312"/>
          <w:b w:val="0"/>
          <w:i w:val="0"/>
          <w:caps w:val="0"/>
          <w:color w:val="auto"/>
          <w:spacing w:val="0"/>
          <w:w w:val="100"/>
          <w:sz w:val="32"/>
          <w:szCs w:val="32"/>
          <w:highlight w:val="none"/>
          <w:lang w:val="en-US" w:eastAsia="zh-CN"/>
        </w:rPr>
        <w:t>建设、</w:t>
      </w:r>
      <w:r>
        <w:rPr>
          <w:rFonts w:hint="eastAsia" w:ascii="仿宋_GB2312" w:hAnsi="仿宋_GB2312" w:eastAsia="仿宋_GB2312" w:cs="仿宋_GB2312"/>
          <w:b w:val="0"/>
          <w:i w:val="0"/>
          <w:caps w:val="0"/>
          <w:color w:val="auto"/>
          <w:spacing w:val="0"/>
          <w:w w:val="100"/>
          <w:sz w:val="32"/>
          <w:szCs w:val="32"/>
          <w:highlight w:val="none"/>
          <w:lang w:val="en-US" w:eastAsia="zh-CN"/>
        </w:rPr>
        <w:t>“</w:t>
      </w:r>
      <w:r>
        <w:rPr>
          <w:rFonts w:hint="default" w:ascii="仿宋_GB2312" w:hAnsi="仿宋_GB2312" w:eastAsia="仿宋_GB2312" w:cs="仿宋_GB2312"/>
          <w:b w:val="0"/>
          <w:i w:val="0"/>
          <w:caps w:val="0"/>
          <w:color w:val="auto"/>
          <w:spacing w:val="0"/>
          <w:w w:val="100"/>
          <w:sz w:val="32"/>
          <w:szCs w:val="32"/>
          <w:highlight w:val="none"/>
          <w:lang w:val="en-US" w:eastAsia="zh-CN"/>
        </w:rPr>
        <w:t>20+8</w:t>
      </w:r>
      <w:r>
        <w:rPr>
          <w:rFonts w:hint="eastAsia" w:ascii="仿宋_GB2312" w:hAnsi="仿宋_GB2312" w:eastAsia="仿宋_GB2312" w:cs="仿宋_GB2312"/>
          <w:b w:val="0"/>
          <w:i w:val="0"/>
          <w:caps w:val="0"/>
          <w:color w:val="auto"/>
          <w:spacing w:val="0"/>
          <w:w w:val="100"/>
          <w:sz w:val="32"/>
          <w:szCs w:val="32"/>
          <w:highlight w:val="none"/>
          <w:lang w:val="en-US" w:eastAsia="zh-CN"/>
        </w:rPr>
        <w:t>”产业集群</w:t>
      </w:r>
      <w:r>
        <w:rPr>
          <w:rFonts w:hint="default" w:ascii="仿宋_GB2312" w:hAnsi="仿宋_GB2312" w:eastAsia="仿宋_GB2312" w:cs="仿宋_GB2312"/>
          <w:b w:val="0"/>
          <w:i w:val="0"/>
          <w:caps w:val="0"/>
          <w:color w:val="auto"/>
          <w:spacing w:val="0"/>
          <w:w w:val="100"/>
          <w:sz w:val="32"/>
          <w:szCs w:val="32"/>
          <w:highlight w:val="none"/>
          <w:lang w:val="en-US" w:eastAsia="zh-CN"/>
        </w:rPr>
        <w:t>发展、关键核心技术攻关等重点领域资源导入有待加</w:t>
      </w:r>
      <w:r>
        <w:rPr>
          <w:rFonts w:hint="eastAsia" w:ascii="仿宋_GB2312" w:hAnsi="仿宋_GB2312" w:eastAsia="仿宋_GB2312" w:cs="仿宋_GB2312"/>
          <w:b w:val="0"/>
          <w:i w:val="0"/>
          <w:caps w:val="0"/>
          <w:color w:val="auto"/>
          <w:spacing w:val="0"/>
          <w:w w:val="100"/>
          <w:sz w:val="32"/>
          <w:szCs w:val="32"/>
          <w:highlight w:val="none"/>
          <w:lang w:val="en-US" w:eastAsia="zh-CN"/>
        </w:rPr>
        <w:t>强。</w:t>
      </w:r>
      <w:r>
        <w:rPr>
          <w:rFonts w:hint="default" w:ascii="仿宋_GB2312" w:hAnsi="仿宋_GB2312" w:eastAsia="仿宋_GB2312" w:cs="仿宋_GB2312"/>
          <w:b/>
          <w:bCs/>
          <w:i w:val="0"/>
          <w:caps w:val="0"/>
          <w:color w:val="auto"/>
          <w:spacing w:val="0"/>
          <w:w w:val="100"/>
          <w:kern w:val="2"/>
          <w:sz w:val="32"/>
          <w:szCs w:val="32"/>
          <w:lang w:val="en-US" w:eastAsia="zh-CN" w:bidi="ar-SA"/>
        </w:rPr>
        <w:t>四是</w:t>
      </w:r>
      <w:r>
        <w:rPr>
          <w:rFonts w:hint="default" w:ascii="仿宋_GB2312" w:hAnsi="仿宋_GB2312" w:eastAsia="仿宋_GB2312" w:cs="仿宋_GB2312"/>
          <w:b/>
          <w:bCs/>
          <w:i w:val="0"/>
          <w:caps w:val="0"/>
          <w:color w:val="auto"/>
          <w:spacing w:val="0"/>
          <w:w w:val="100"/>
          <w:kern w:val="2"/>
          <w:sz w:val="32"/>
          <w:szCs w:val="32"/>
          <w:lang w:eastAsia="zh-CN" w:bidi="ar-SA"/>
        </w:rPr>
        <w:t>科研项目及经费管理</w:t>
      </w:r>
      <w:r>
        <w:rPr>
          <w:rFonts w:hint="default" w:ascii="仿宋_GB2312" w:hAnsi="仿宋_GB2312" w:eastAsia="仿宋_GB2312" w:cs="仿宋_GB2312"/>
          <w:b/>
          <w:bCs/>
          <w:i w:val="0"/>
          <w:caps w:val="0"/>
          <w:color w:val="auto"/>
          <w:spacing w:val="0"/>
          <w:w w:val="100"/>
          <w:kern w:val="2"/>
          <w:sz w:val="32"/>
          <w:szCs w:val="32"/>
          <w:lang w:val="en-US" w:eastAsia="zh-CN" w:bidi="ar-SA"/>
        </w:rPr>
        <w:t>有待优化。</w:t>
      </w:r>
      <w:r>
        <w:rPr>
          <w:rFonts w:hint="eastAsia" w:ascii="仿宋_GB2312" w:hAnsi="仿宋_GB2312" w:eastAsia="仿宋_GB2312" w:cs="仿宋_GB2312"/>
          <w:b w:val="0"/>
          <w:i w:val="0"/>
          <w:caps w:val="0"/>
          <w:color w:val="auto"/>
          <w:spacing w:val="0"/>
          <w:w w:val="100"/>
          <w:sz w:val="32"/>
          <w:szCs w:val="32"/>
          <w:highlight w:val="none"/>
          <w:lang w:val="en-US" w:eastAsia="zh-CN"/>
        </w:rPr>
        <w:t>项目申报引导、项目课题来源机制、评审论证方式、绩效评价、经费管理等有待进一步优化。</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default" w:ascii="仿宋_GB2312" w:hAnsi="仿宋_GB2312" w:eastAsia="仿宋_GB2312" w:cs="仿宋_GB2312"/>
          <w:b w:val="0"/>
          <w:i w:val="0"/>
          <w:caps w:val="0"/>
          <w:color w:val="auto"/>
          <w:spacing w:val="0"/>
          <w:w w:val="100"/>
          <w:sz w:val="32"/>
          <w:szCs w:val="32"/>
          <w:highlight w:val="none"/>
          <w:lang w:val="en-US" w:eastAsia="zh-CN"/>
        </w:rPr>
      </w:pPr>
      <w:r>
        <w:rPr>
          <w:rFonts w:hint="eastAsia" w:ascii="仿宋_GB2312" w:hAnsi="仿宋_GB2312" w:eastAsia="仿宋_GB2312" w:cs="仿宋_GB2312"/>
          <w:b w:val="0"/>
          <w:i w:val="0"/>
          <w:caps w:val="0"/>
          <w:color w:val="auto"/>
          <w:spacing w:val="0"/>
          <w:w w:val="100"/>
          <w:sz w:val="32"/>
          <w:szCs w:val="32"/>
          <w:highlight w:val="none"/>
          <w:lang w:val="en-US" w:eastAsia="zh-CN"/>
        </w:rPr>
        <w:t>综上，为贯彻习近平总书记关于科技创新的系列重要论述，落实国家省市任务部署，提升我市科技创新体系化能力，增强科技</w:t>
      </w:r>
      <w:r>
        <w:rPr>
          <w:rFonts w:hint="default" w:ascii="仿宋_GB2312" w:hAnsi="仿宋_GB2312" w:eastAsia="仿宋_GB2312" w:cs="仿宋_GB2312"/>
          <w:b w:val="0"/>
          <w:i w:val="0"/>
          <w:caps w:val="0"/>
          <w:color w:val="auto"/>
          <w:spacing w:val="0"/>
          <w:w w:val="100"/>
          <w:sz w:val="32"/>
          <w:szCs w:val="32"/>
          <w:highlight w:val="none"/>
          <w:lang w:val="en-US" w:eastAsia="zh-CN"/>
        </w:rPr>
        <w:t>计划</w:t>
      </w:r>
      <w:r>
        <w:rPr>
          <w:rFonts w:hint="eastAsia" w:ascii="仿宋_GB2312" w:hAnsi="仿宋_GB2312" w:eastAsia="仿宋_GB2312" w:cs="仿宋_GB2312"/>
          <w:b w:val="0"/>
          <w:i w:val="0"/>
          <w:caps w:val="0"/>
          <w:color w:val="auto"/>
          <w:spacing w:val="0"/>
          <w:w w:val="100"/>
          <w:sz w:val="32"/>
          <w:szCs w:val="32"/>
          <w:highlight w:val="none"/>
          <w:lang w:val="en-US" w:eastAsia="zh-CN"/>
        </w:rPr>
        <w:t>对高质量发展和双区建设的支撑引领作用，打造中国式现代化和科技自立自强深圳样板，助力我市加快建设具有全球影响力的科技和产业创新高地，有必要加快改革优化科技计划体系。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二、工作方案主要内容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 w:hAnsi="楷体" w:eastAsia="楷体" w:cs="楷体"/>
          <w:b w:val="0"/>
          <w:bCs w:val="0"/>
          <w:color w:val="auto"/>
          <w:kern w:val="2"/>
          <w:sz w:val="32"/>
          <w:szCs w:val="32"/>
          <w:lang w:val="en-US" w:eastAsia="zh-CN" w:bidi="ar-SA"/>
        </w:rPr>
      </w:pPr>
      <w:r>
        <w:rPr>
          <w:rFonts w:hint="default" w:ascii="楷体" w:hAnsi="楷体" w:eastAsia="楷体" w:cs="楷体"/>
          <w:b w:val="0"/>
          <w:bCs w:val="0"/>
          <w:color w:val="auto"/>
          <w:kern w:val="2"/>
          <w:sz w:val="32"/>
          <w:szCs w:val="32"/>
          <w:lang w:val="en-US" w:eastAsia="zh-CN" w:bidi="ar-SA"/>
        </w:rPr>
        <w:t>（一）总体目标</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firstLine="640" w:firstLineChars="200"/>
        <w:jc w:val="both"/>
        <w:textAlignment w:val="auto"/>
        <w:rPr>
          <w:rFonts w:hint="eastAsia" w:ascii="仿宋_GB2312" w:hAnsi="仿宋_GB2312" w:eastAsia="仿宋_GB2312" w:cs="仿宋_GB2312"/>
          <w:b w:val="0"/>
          <w:i w:val="0"/>
          <w:caps w:val="0"/>
          <w:color w:val="auto"/>
          <w:spacing w:val="0"/>
          <w:w w:val="100"/>
          <w:sz w:val="32"/>
          <w:szCs w:val="32"/>
          <w:highlight w:val="none"/>
          <w:lang w:val="en-US" w:eastAsia="zh-CN"/>
        </w:rPr>
      </w:pPr>
      <w:r>
        <w:rPr>
          <w:rFonts w:hint="default" w:ascii="仿宋_GB2312" w:hAnsi="仿宋_GB2312" w:eastAsia="仿宋_GB2312" w:cs="仿宋_GB2312"/>
          <w:b w:val="0"/>
          <w:i w:val="0"/>
          <w:caps w:val="0"/>
          <w:color w:val="auto"/>
          <w:spacing w:val="0"/>
          <w:w w:val="100"/>
          <w:sz w:val="32"/>
          <w:szCs w:val="32"/>
          <w:highlight w:val="none"/>
          <w:lang w:val="en-US" w:eastAsia="zh-CN"/>
        </w:rPr>
        <w:t>通过精简科技计划类别，优化制度实施体系，改进内部工作机制，完善项目申报立项流程、深化经费放管服改革等，使科技资源更加聚焦重点平台、重点任务，科技投入效能和行政效率更高，有力促进高质量发展，推动</w:t>
      </w:r>
      <w:r>
        <w:rPr>
          <w:rFonts w:hint="eastAsia" w:ascii="仿宋_GB2312" w:hAnsi="仿宋_GB2312" w:eastAsia="仿宋_GB2312" w:cs="仿宋_GB2312"/>
          <w:b w:val="0"/>
          <w:i w:val="0"/>
          <w:caps w:val="0"/>
          <w:color w:val="auto"/>
          <w:spacing w:val="0"/>
          <w:w w:val="100"/>
          <w:sz w:val="32"/>
          <w:szCs w:val="32"/>
          <w:highlight w:val="none"/>
          <w:lang w:val="en-US" w:eastAsia="zh-CN"/>
        </w:rPr>
        <w:t>我市建设中国特色社会主义先行示范区、粤港澳高水平人才高地、国际科技创新中心。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rPr>
        <w:t>（二）</w:t>
      </w:r>
      <w:r>
        <w:rPr>
          <w:rFonts w:hint="eastAsia" w:ascii="楷体" w:hAnsi="楷体" w:eastAsia="楷体" w:cs="楷体"/>
          <w:color w:val="auto"/>
          <w:sz w:val="32"/>
          <w:szCs w:val="32"/>
          <w:highlight w:val="none"/>
          <w:lang w:val="en-US" w:eastAsia="zh-CN"/>
        </w:rPr>
        <w:t>基本原则</w:t>
      </w:r>
    </w:p>
    <w:p>
      <w:pPr>
        <w:keepNext w:val="0"/>
        <w:keepLines w:val="0"/>
        <w:pageBreakBefore w:val="0"/>
        <w:kinsoku/>
        <w:wordWrap/>
        <w:overflowPunct/>
        <w:topLinePunct w:val="0"/>
        <w:autoSpaceDE/>
        <w:bidi w:val="0"/>
        <w:spacing w:line="560" w:lineRule="exact"/>
        <w:ind w:firstLine="643" w:firstLineChars="200"/>
        <w:rPr>
          <w:rFonts w:hint="default" w:ascii="仿宋_GB2312" w:hAnsi="仿宋_GB2312" w:eastAsia="仿宋_GB2312" w:cs="仿宋_GB2312"/>
          <w:b w:val="0"/>
          <w:i w:val="0"/>
          <w:caps w:val="0"/>
          <w:color w:val="auto"/>
          <w:spacing w:val="0"/>
          <w:w w:val="100"/>
          <w:sz w:val="32"/>
          <w:szCs w:val="32"/>
          <w:highlight w:val="none"/>
          <w:lang w:val="en-US" w:eastAsia="zh-CN"/>
        </w:rPr>
      </w:pPr>
      <w:r>
        <w:rPr>
          <w:rFonts w:hint="default" w:ascii="仿宋_GB2312" w:hAnsi="仿宋_GB2312" w:eastAsia="仿宋_GB2312" w:cs="仿宋_GB2312"/>
          <w:b/>
          <w:bCs/>
          <w:color w:val="auto"/>
          <w:sz w:val="32"/>
          <w:szCs w:val="32"/>
          <w:highlight w:val="none"/>
        </w:rPr>
        <w:t>一是</w:t>
      </w:r>
      <w:r>
        <w:rPr>
          <w:rFonts w:hint="eastAsia" w:ascii="仿宋_GB2312" w:hAnsi="仿宋_GB2312" w:eastAsia="仿宋_GB2312" w:cs="仿宋_GB2312"/>
          <w:b/>
          <w:bCs/>
          <w:color w:val="auto"/>
          <w:sz w:val="32"/>
          <w:szCs w:val="32"/>
          <w:highlight w:val="none"/>
        </w:rPr>
        <w:t>坚持统筹布局。</w:t>
      </w:r>
      <w:r>
        <w:rPr>
          <w:rFonts w:hint="default" w:ascii="仿宋_GB2312" w:hAnsi="仿宋_GB2312" w:eastAsia="仿宋_GB2312" w:cs="仿宋_GB2312"/>
          <w:b w:val="0"/>
          <w:i w:val="0"/>
          <w:caps w:val="0"/>
          <w:color w:val="auto"/>
          <w:spacing w:val="0"/>
          <w:w w:val="100"/>
          <w:sz w:val="32"/>
          <w:szCs w:val="32"/>
          <w:highlight w:val="none"/>
          <w:lang w:val="en-US" w:eastAsia="zh-CN"/>
        </w:rPr>
        <w:t>加强与国家省市科技计划对接</w:t>
      </w:r>
      <w:r>
        <w:rPr>
          <w:rFonts w:hint="eastAsia" w:ascii="仿宋_GB2312" w:hAnsi="仿宋_GB2312" w:eastAsia="仿宋_GB2312" w:cs="仿宋_GB2312"/>
          <w:b w:val="0"/>
          <w:i w:val="0"/>
          <w:caps w:val="0"/>
          <w:color w:val="auto"/>
          <w:spacing w:val="0"/>
          <w:w w:val="100"/>
          <w:sz w:val="32"/>
          <w:szCs w:val="32"/>
          <w:highlight w:val="none"/>
          <w:lang w:val="en-US" w:eastAsia="zh-CN"/>
        </w:rPr>
        <w:t>，强化</w:t>
      </w:r>
      <w:r>
        <w:rPr>
          <w:rFonts w:hint="default" w:ascii="仿宋_GB2312" w:hAnsi="仿宋_GB2312" w:eastAsia="仿宋_GB2312" w:cs="仿宋_GB2312"/>
          <w:b w:val="0"/>
          <w:i w:val="0"/>
          <w:caps w:val="0"/>
          <w:color w:val="auto"/>
          <w:spacing w:val="0"/>
          <w:w w:val="100"/>
          <w:sz w:val="32"/>
          <w:szCs w:val="32"/>
          <w:highlight w:val="none"/>
          <w:lang w:val="en-US" w:eastAsia="zh-CN"/>
        </w:rPr>
        <w:t>战略协同</w:t>
      </w:r>
      <w:r>
        <w:rPr>
          <w:rFonts w:hint="eastAsia" w:ascii="仿宋_GB2312" w:hAnsi="仿宋_GB2312" w:eastAsia="仿宋_GB2312" w:cs="仿宋_GB2312"/>
          <w:b w:val="0"/>
          <w:i w:val="0"/>
          <w:caps w:val="0"/>
          <w:color w:val="auto"/>
          <w:spacing w:val="0"/>
          <w:w w:val="100"/>
          <w:sz w:val="32"/>
          <w:szCs w:val="32"/>
          <w:highlight w:val="none"/>
          <w:lang w:val="en-US" w:eastAsia="zh-CN"/>
        </w:rPr>
        <w:t>，加大对基础研究、重点实验室、核心技术攻关等方面的资源配置力度，深化深港澳科技合作与国际交流合作。</w:t>
      </w:r>
      <w:r>
        <w:rPr>
          <w:rFonts w:hint="default" w:ascii="仿宋_GB2312" w:hAnsi="仿宋_GB2312" w:eastAsia="仿宋_GB2312" w:cs="仿宋_GB2312"/>
          <w:b/>
          <w:bCs/>
          <w:color w:val="auto"/>
          <w:sz w:val="32"/>
          <w:szCs w:val="32"/>
          <w:highlight w:val="none"/>
        </w:rPr>
        <w:t>二是</w:t>
      </w:r>
      <w:r>
        <w:rPr>
          <w:rFonts w:hint="eastAsia" w:ascii="仿宋_GB2312" w:hAnsi="仿宋_GB2312" w:eastAsia="仿宋_GB2312" w:cs="仿宋_GB2312"/>
          <w:b/>
          <w:bCs/>
          <w:color w:val="auto"/>
          <w:sz w:val="32"/>
          <w:szCs w:val="32"/>
          <w:highlight w:val="none"/>
        </w:rPr>
        <w:t>坚持目标导向。</w:t>
      </w:r>
      <w:r>
        <w:rPr>
          <w:rFonts w:hint="eastAsia" w:ascii="仿宋_GB2312" w:hAnsi="仿宋_GB2312" w:eastAsia="仿宋_GB2312" w:cs="仿宋_GB2312"/>
          <w:b w:val="0"/>
          <w:i w:val="0"/>
          <w:caps w:val="0"/>
          <w:color w:val="auto"/>
          <w:spacing w:val="0"/>
          <w:w w:val="100"/>
          <w:sz w:val="32"/>
          <w:szCs w:val="32"/>
          <w:highlight w:val="none"/>
          <w:lang w:val="en-US" w:eastAsia="zh-CN"/>
        </w:rPr>
        <w:t>瞄准提高科技投入效能和行政效能等目标，围绕“四个面向”和国家省市重大工程、重要平台和重点任务，结合现行计划实施绩效，改革科技计划体系，优化计划实施流程，提升创新整体效能。</w:t>
      </w:r>
      <w:r>
        <w:rPr>
          <w:rFonts w:hint="default" w:ascii="仿宋_GB2312" w:hAnsi="仿宋_GB2312" w:eastAsia="仿宋_GB2312" w:cs="仿宋_GB2312"/>
          <w:b/>
          <w:bCs/>
          <w:color w:val="auto"/>
          <w:sz w:val="32"/>
          <w:szCs w:val="32"/>
          <w:highlight w:val="none"/>
        </w:rPr>
        <w:t>三是</w:t>
      </w:r>
      <w:r>
        <w:rPr>
          <w:rFonts w:hint="eastAsia" w:ascii="仿宋_GB2312" w:hAnsi="仿宋_GB2312" w:eastAsia="仿宋_GB2312" w:cs="仿宋_GB2312"/>
          <w:b/>
          <w:bCs/>
          <w:color w:val="auto"/>
          <w:sz w:val="32"/>
          <w:szCs w:val="32"/>
          <w:highlight w:val="none"/>
        </w:rPr>
        <w:t>坚持市场导向。</w:t>
      </w:r>
      <w:r>
        <w:rPr>
          <w:rFonts w:hint="eastAsia" w:ascii="仿宋_GB2312" w:hAnsi="仿宋_GB2312" w:eastAsia="仿宋_GB2312" w:cs="仿宋_GB2312"/>
          <w:b w:val="0"/>
          <w:i w:val="0"/>
          <w:caps w:val="0"/>
          <w:color w:val="auto"/>
          <w:spacing w:val="0"/>
          <w:w w:val="100"/>
          <w:sz w:val="32"/>
          <w:szCs w:val="32"/>
          <w:highlight w:val="none"/>
          <w:lang w:val="en-US" w:eastAsia="zh-CN"/>
        </w:rPr>
        <w:t>发挥好市场配置技术创新资源的决定性作用和企业技术创新主体作用，坚持市场对科技成果产业化工作的引导作用，发挥金融对科技的协同支撑作用，促进科技和经济社会发展相结合。</w:t>
      </w:r>
    </w:p>
    <w:p>
      <w:pPr>
        <w:keepNext w:val="0"/>
        <w:keepLines w:val="0"/>
        <w:pageBreakBefore w:val="0"/>
        <w:numPr>
          <w:ilvl w:val="0"/>
          <w:numId w:val="0"/>
        </w:numPr>
        <w:pBdr>
          <w:bottom w:val="none" w:color="auto" w:sz="0" w:space="31"/>
        </w:pBdr>
        <w:kinsoku/>
        <w:wordWrap/>
        <w:overflowPunct/>
        <w:topLinePunct w:val="0"/>
        <w:autoSpaceDE/>
        <w:autoSpaceDN w:val="0"/>
        <w:bidi w:val="0"/>
        <w:adjustRightInd w:val="0"/>
        <w:snapToGrid w:val="0"/>
        <w:spacing w:line="560" w:lineRule="exact"/>
        <w:ind w:firstLine="640" w:firstLineChars="200"/>
        <w:rPr>
          <w:rFonts w:hint="default"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w:t>
      </w:r>
      <w:r>
        <w:rPr>
          <w:rFonts w:hint="default" w:ascii="楷体" w:hAnsi="楷体" w:eastAsia="楷体" w:cs="楷体"/>
          <w:b w:val="0"/>
          <w:bCs w:val="0"/>
          <w:color w:val="auto"/>
          <w:sz w:val="32"/>
          <w:szCs w:val="32"/>
          <w:lang w:eastAsia="zh-CN"/>
        </w:rPr>
        <w:t>改革任务</w:t>
      </w:r>
    </w:p>
    <w:p>
      <w:pPr>
        <w:keepNext w:val="0"/>
        <w:keepLines w:val="0"/>
        <w:pageBreakBefore w:val="0"/>
        <w:numPr>
          <w:ilvl w:val="0"/>
          <w:numId w:val="0"/>
        </w:numPr>
        <w:pBdr>
          <w:bottom w:val="none" w:color="auto" w:sz="0" w:space="31"/>
        </w:pBdr>
        <w:kinsoku/>
        <w:wordWrap/>
        <w:overflowPunct/>
        <w:topLinePunct w:val="0"/>
        <w:autoSpaceDE/>
        <w:autoSpaceDN w:val="0"/>
        <w:bidi w:val="0"/>
        <w:adjustRightInd w:val="0"/>
        <w:snapToGrid w:val="0"/>
        <w:spacing w:line="560" w:lineRule="exact"/>
        <w:ind w:firstLine="640" w:firstLineChars="200"/>
        <w:rPr>
          <w:rFonts w:hint="default" w:ascii="仿宋_GB2312" w:hAnsi="仿宋_GB2312" w:eastAsia="仿宋_GB2312" w:cs="仿宋_GB2312"/>
          <w:b w:val="0"/>
          <w:i w:val="0"/>
          <w:caps w:val="0"/>
          <w:color w:val="auto"/>
          <w:spacing w:val="0"/>
          <w:w w:val="100"/>
          <w:sz w:val="32"/>
          <w:szCs w:val="32"/>
          <w:highlight w:val="none"/>
          <w:lang w:val="en-US" w:eastAsia="zh-CN"/>
        </w:rPr>
      </w:pPr>
      <w:r>
        <w:rPr>
          <w:rFonts w:hint="default" w:ascii="仿宋_GB2312" w:hAnsi="仿宋_GB2312" w:eastAsia="仿宋_GB2312" w:cs="仿宋_GB2312"/>
          <w:b w:val="0"/>
          <w:i w:val="0"/>
          <w:caps w:val="0"/>
          <w:color w:val="auto"/>
          <w:spacing w:val="0"/>
          <w:w w:val="100"/>
          <w:sz w:val="32"/>
          <w:szCs w:val="32"/>
          <w:highlight w:val="none"/>
          <w:lang w:val="en-US" w:eastAsia="zh-CN"/>
        </w:rPr>
        <w:t>科技计划改革</w:t>
      </w:r>
      <w:r>
        <w:rPr>
          <w:rFonts w:hint="eastAsia" w:ascii="仿宋_GB2312" w:hAnsi="仿宋_GB2312" w:eastAsia="仿宋_GB2312" w:cs="仿宋_GB2312"/>
          <w:b w:val="0"/>
          <w:i w:val="0"/>
          <w:caps w:val="0"/>
          <w:color w:val="auto"/>
          <w:spacing w:val="0"/>
          <w:w w:val="100"/>
          <w:sz w:val="32"/>
          <w:szCs w:val="32"/>
          <w:highlight w:val="none"/>
          <w:lang w:val="en-US" w:eastAsia="zh-CN"/>
        </w:rPr>
        <w:t>工作按照整体设计、逐步推进的原则开展。</w:t>
      </w:r>
      <w:r>
        <w:rPr>
          <w:rFonts w:hint="default" w:ascii="仿宋_GB2312" w:hAnsi="仿宋_GB2312" w:eastAsia="仿宋_GB2312" w:cs="仿宋_GB2312"/>
          <w:b w:val="0"/>
          <w:i w:val="0"/>
          <w:caps w:val="0"/>
          <w:color w:val="auto"/>
          <w:spacing w:val="0"/>
          <w:w w:val="100"/>
          <w:sz w:val="32"/>
          <w:szCs w:val="32"/>
          <w:highlight w:val="none"/>
          <w:lang w:val="en-US" w:eastAsia="zh-CN"/>
        </w:rPr>
        <w:t>优化制度实施体系，简化</w:t>
      </w:r>
      <w:r>
        <w:rPr>
          <w:rFonts w:hint="eastAsia" w:ascii="仿宋_GB2312" w:hAnsi="仿宋_GB2312" w:eastAsia="仿宋_GB2312" w:cs="仿宋_GB2312"/>
          <w:b w:val="0"/>
          <w:i w:val="0"/>
          <w:caps w:val="0"/>
          <w:color w:val="auto"/>
          <w:spacing w:val="0"/>
          <w:w w:val="100"/>
          <w:sz w:val="32"/>
          <w:szCs w:val="32"/>
          <w:highlight w:val="none"/>
          <w:lang w:val="en-US" w:eastAsia="zh-CN"/>
        </w:rPr>
        <w:t>管理办法、实施方案、申请指南等文件数量及层级，</w:t>
      </w:r>
      <w:r>
        <w:rPr>
          <w:rFonts w:hint="default" w:ascii="仿宋_GB2312" w:hAnsi="仿宋_GB2312" w:eastAsia="仿宋_GB2312" w:cs="仿宋_GB2312"/>
          <w:b w:val="0"/>
          <w:i w:val="0"/>
          <w:caps w:val="0"/>
          <w:color w:val="auto"/>
          <w:spacing w:val="0"/>
          <w:w w:val="100"/>
          <w:sz w:val="32"/>
          <w:szCs w:val="32"/>
          <w:highlight w:val="none"/>
          <w:lang w:val="en-US" w:eastAsia="zh-CN"/>
        </w:rPr>
        <w:t>提高计划组织实施效率。各类计划持续优化制度保障体系，改进组织方式，</w:t>
      </w:r>
      <w:r>
        <w:rPr>
          <w:rFonts w:hint="eastAsia" w:ascii="仿宋_GB2312" w:hAnsi="仿宋_GB2312" w:eastAsia="仿宋_GB2312" w:cs="仿宋_GB2312"/>
          <w:b w:val="0"/>
          <w:i w:val="0"/>
          <w:caps w:val="0"/>
          <w:color w:val="auto"/>
          <w:spacing w:val="0"/>
          <w:w w:val="100"/>
          <w:sz w:val="32"/>
          <w:szCs w:val="32"/>
          <w:highlight w:val="none"/>
          <w:lang w:val="en-US" w:eastAsia="zh-CN"/>
        </w:rPr>
        <w:t>涉及制定修订管理办法或</w:t>
      </w:r>
      <w:r>
        <w:rPr>
          <w:rFonts w:hint="default" w:ascii="仿宋_GB2312" w:hAnsi="仿宋_GB2312" w:eastAsia="仿宋_GB2312" w:cs="仿宋_GB2312"/>
          <w:b w:val="0"/>
          <w:i w:val="0"/>
          <w:caps w:val="0"/>
          <w:color w:val="auto"/>
          <w:spacing w:val="0"/>
          <w:w w:val="100"/>
          <w:sz w:val="32"/>
          <w:szCs w:val="32"/>
          <w:highlight w:val="none"/>
          <w:lang w:val="en-US" w:eastAsia="zh-CN"/>
        </w:rPr>
        <w:t>实施</w:t>
      </w:r>
      <w:r>
        <w:rPr>
          <w:rFonts w:hint="eastAsia" w:ascii="仿宋_GB2312" w:hAnsi="仿宋_GB2312" w:eastAsia="仿宋_GB2312" w:cs="仿宋_GB2312"/>
          <w:b w:val="0"/>
          <w:i w:val="0"/>
          <w:caps w:val="0"/>
          <w:color w:val="auto"/>
          <w:spacing w:val="0"/>
          <w:w w:val="100"/>
          <w:sz w:val="32"/>
          <w:szCs w:val="32"/>
          <w:highlight w:val="none"/>
          <w:lang w:val="en-US" w:eastAsia="zh-CN"/>
        </w:rPr>
        <w:t>方案的，按程序推进报审。</w:t>
      </w:r>
      <w:r>
        <w:rPr>
          <w:rFonts w:hint="default" w:ascii="仿宋_GB2312" w:hAnsi="仿宋_GB2312" w:eastAsia="仿宋_GB2312" w:cs="仿宋_GB2312"/>
          <w:b w:val="0"/>
          <w:i w:val="0"/>
          <w:caps w:val="0"/>
          <w:color w:val="auto"/>
          <w:spacing w:val="0"/>
          <w:w w:val="100"/>
          <w:sz w:val="32"/>
          <w:szCs w:val="32"/>
          <w:highlight w:val="none"/>
          <w:lang w:val="en-US" w:eastAsia="zh-CN"/>
        </w:rPr>
        <w:t>结合国家省市科技部门机构改革后的最新职责，进一步改革优化科技计划体系，做好计划衔接对接。</w:t>
      </w:r>
    </w:p>
    <w:p>
      <w:pPr>
        <w:keepNext w:val="0"/>
        <w:keepLines w:val="0"/>
        <w:pageBreakBefore w:val="0"/>
        <w:widowControl/>
        <w:numPr>
          <w:ilvl w:val="0"/>
          <w:numId w:val="0"/>
        </w:numPr>
        <w:pBdr>
          <w:bottom w:val="none" w:color="auto" w:sz="0" w:space="31"/>
        </w:pBdr>
        <w:kinsoku/>
        <w:wordWrap/>
        <w:overflowPunct/>
        <w:topLinePunct w:val="0"/>
        <w:autoSpaceDE/>
        <w:autoSpaceDN w:val="0"/>
        <w:bidi w:val="0"/>
        <w:adjustRightInd w:val="0"/>
        <w:snapToGrid w:val="0"/>
        <w:spacing w:line="560" w:lineRule="exact"/>
        <w:ind w:firstLine="640" w:firstLineChars="200"/>
        <w:rPr>
          <w:rFonts w:hint="default" w:ascii="Times New Roman" w:hAnsi="Times New Roman" w:eastAsia="仿宋_GB2312" w:cs="Times New Roman"/>
          <w:sz w:val="32"/>
          <w:szCs w:val="20"/>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default" w:ascii="楷体" w:hAnsi="楷体" w:eastAsia="楷体" w:cs="楷体"/>
          <w:color w:val="auto"/>
          <w:sz w:val="32"/>
          <w:szCs w:val="32"/>
          <w:highlight w:val="none"/>
        </w:rPr>
        <w:t>重点工作</w:t>
      </w:r>
    </w:p>
    <w:p>
      <w:pPr>
        <w:keepNext w:val="0"/>
        <w:keepLines w:val="0"/>
        <w:pageBreakBefore w:val="0"/>
        <w:numPr>
          <w:ilvl w:val="0"/>
          <w:numId w:val="0"/>
        </w:numPr>
        <w:pBdr>
          <w:bottom w:val="none" w:color="auto" w:sz="0" w:space="31"/>
        </w:pBdr>
        <w:kinsoku/>
        <w:wordWrap/>
        <w:overflowPunct/>
        <w:topLinePunct w:val="0"/>
        <w:autoSpaceDE/>
        <w:autoSpaceDN w:val="0"/>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为增强科技计划体系实施的整体效果，研究优化体制机制，开展规范化建设。同时，立足长远，密切关注国家省市科技部门职责调整，及时跟进对接。</w:t>
      </w:r>
      <w:r>
        <w:rPr>
          <w:rFonts w:hint="eastAsia" w:ascii="仿宋_GB2312" w:hAnsi="仿宋_GB2312" w:eastAsia="仿宋_GB2312" w:cs="仿宋_GB2312"/>
          <w:color w:val="auto"/>
          <w:sz w:val="32"/>
          <w:szCs w:val="32"/>
          <w:highlight w:val="none"/>
          <w:lang w:val="en-US" w:eastAsia="zh-CN"/>
        </w:rPr>
        <w:t>改革科技计划架构</w:t>
      </w:r>
      <w:r>
        <w:rPr>
          <w:rFonts w:hint="eastAsia" w:ascii="仿宋_GB2312" w:hAnsi="仿宋_GB2312" w:eastAsia="仿宋_GB2312" w:cs="仿宋_GB2312"/>
          <w:color w:val="auto"/>
          <w:sz w:val="32"/>
          <w:szCs w:val="32"/>
          <w:highlight w:val="none"/>
          <w:lang w:eastAsia="zh-CN"/>
        </w:rPr>
        <w:t>，精简计划类别，构建布局合理、定位科学、机制灵活的科技计划体系；</w:t>
      </w:r>
      <w:r>
        <w:rPr>
          <w:rFonts w:hint="eastAsia" w:ascii="仿宋_GB2312" w:hAnsi="仿宋_GB2312" w:eastAsia="仿宋_GB2312" w:cs="仿宋_GB2312"/>
          <w:color w:val="auto"/>
          <w:sz w:val="32"/>
          <w:szCs w:val="32"/>
          <w:highlight w:val="none"/>
          <w:lang w:val="en-US" w:eastAsia="zh-CN"/>
        </w:rPr>
        <w:t>完善制度保障体系，各类具体科技计划资助范围的调整，按照相关管理办法或经审定的实施方案等执行；</w:t>
      </w:r>
      <w:r>
        <w:rPr>
          <w:rFonts w:hint="eastAsia" w:ascii="仿宋_GB2312" w:hAnsi="仿宋_GB2312" w:eastAsia="仿宋_GB2312" w:cs="仿宋_GB2312"/>
          <w:color w:val="auto"/>
          <w:sz w:val="32"/>
          <w:szCs w:val="32"/>
          <w:highlight w:val="none"/>
          <w:lang w:eastAsia="zh-CN"/>
        </w:rPr>
        <w:t>进一步</w:t>
      </w:r>
      <w:r>
        <w:rPr>
          <w:rFonts w:hint="eastAsia" w:ascii="仿宋_GB2312" w:hAnsi="仿宋_GB2312" w:eastAsia="仿宋_GB2312" w:cs="仿宋_GB2312"/>
          <w:color w:val="auto"/>
          <w:sz w:val="32"/>
          <w:szCs w:val="32"/>
          <w:highlight w:val="none"/>
          <w:lang w:val="en-US" w:eastAsia="zh-CN"/>
        </w:rPr>
        <w:t>优化内部工作</w:t>
      </w:r>
      <w:r>
        <w:rPr>
          <w:rFonts w:hint="eastAsia" w:ascii="仿宋_GB2312" w:hAnsi="仿宋_GB2312" w:eastAsia="仿宋_GB2312" w:cs="仿宋_GB2312"/>
          <w:color w:val="auto"/>
          <w:sz w:val="32"/>
          <w:szCs w:val="32"/>
          <w:highlight w:val="none"/>
          <w:lang w:eastAsia="zh-CN"/>
        </w:rPr>
        <w:t>机制，</w:t>
      </w:r>
      <w:r>
        <w:rPr>
          <w:rFonts w:hint="eastAsia" w:ascii="仿宋_GB2312" w:hAnsi="仿宋_GB2312" w:eastAsia="仿宋_GB2312" w:cs="仿宋_GB2312"/>
          <w:color w:val="auto"/>
          <w:sz w:val="32"/>
          <w:szCs w:val="32"/>
          <w:highlight w:val="none"/>
          <w:lang w:val="en-US" w:eastAsia="zh-CN"/>
        </w:rPr>
        <w:t>规范业务流程和工作机制，</w:t>
      </w:r>
      <w:r>
        <w:rPr>
          <w:rFonts w:hint="eastAsia" w:ascii="仿宋_GB2312" w:hAnsi="仿宋_GB2312" w:eastAsia="仿宋_GB2312" w:cs="仿宋_GB2312"/>
          <w:color w:val="auto"/>
          <w:sz w:val="32"/>
          <w:szCs w:val="32"/>
          <w:highlight w:val="none"/>
          <w:lang w:eastAsia="zh-CN"/>
        </w:rPr>
        <w:t>强化处室执行力，</w:t>
      </w:r>
      <w:r>
        <w:rPr>
          <w:rFonts w:hint="eastAsia" w:ascii="仿宋_GB2312" w:hAnsi="仿宋_GB2312" w:eastAsia="仿宋_GB2312" w:cs="仿宋_GB2312"/>
          <w:color w:val="auto"/>
          <w:sz w:val="32"/>
          <w:szCs w:val="32"/>
          <w:highlight w:val="none"/>
          <w:lang w:val="en-US" w:eastAsia="zh-CN"/>
        </w:rPr>
        <w:t>优化项目课题来源形成机制；</w:t>
      </w:r>
      <w:r>
        <w:rPr>
          <w:rFonts w:hint="eastAsia" w:ascii="仿宋_GB2312" w:hAnsi="仿宋_GB2312" w:eastAsia="仿宋_GB2312" w:cs="仿宋_GB2312"/>
          <w:color w:val="auto"/>
          <w:sz w:val="32"/>
          <w:szCs w:val="32"/>
          <w:highlight w:val="none"/>
          <w:lang w:eastAsia="zh-CN"/>
        </w:rPr>
        <w:t>优化项目评审、专家论证，</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lang w:eastAsia="zh-CN"/>
        </w:rPr>
        <w:t>兼顾公平性和科学性</w:t>
      </w:r>
      <w:r>
        <w:rPr>
          <w:rFonts w:hint="eastAsia" w:ascii="仿宋_GB2312" w:hAnsi="仿宋_GB2312" w:eastAsia="仿宋_GB2312" w:cs="仿宋_GB2312"/>
          <w:color w:val="auto"/>
          <w:sz w:val="32"/>
          <w:szCs w:val="32"/>
          <w:highlight w:val="none"/>
          <w:lang w:val="en-US" w:eastAsia="zh-CN"/>
        </w:rPr>
        <w:t>的基础上</w:t>
      </w:r>
      <w:r>
        <w:rPr>
          <w:rFonts w:hint="eastAsia" w:ascii="仿宋_GB2312" w:hAnsi="仿宋_GB2312" w:eastAsia="仿宋_GB2312" w:cs="仿宋_GB2312"/>
          <w:color w:val="auto"/>
          <w:sz w:val="32"/>
          <w:szCs w:val="32"/>
          <w:highlight w:val="none"/>
          <w:lang w:eastAsia="zh-CN"/>
        </w:rPr>
        <w:t>，健全</w:t>
      </w:r>
      <w:r>
        <w:rPr>
          <w:rFonts w:hint="eastAsia" w:ascii="仿宋_GB2312" w:hAnsi="仿宋_GB2312" w:eastAsia="仿宋_GB2312" w:cs="仿宋_GB2312"/>
          <w:color w:val="auto"/>
          <w:sz w:val="32"/>
          <w:szCs w:val="32"/>
          <w:highlight w:val="none"/>
          <w:lang w:val="en-US" w:eastAsia="zh-CN"/>
        </w:rPr>
        <w:t>以专家论证遴选为主的立项机制；完善</w:t>
      </w:r>
      <w:r>
        <w:rPr>
          <w:rFonts w:hint="eastAsia" w:ascii="仿宋_GB2312" w:hAnsi="仿宋_GB2312" w:eastAsia="仿宋_GB2312" w:cs="仿宋_GB2312"/>
          <w:color w:val="auto"/>
          <w:sz w:val="32"/>
          <w:szCs w:val="32"/>
          <w:highlight w:val="none"/>
          <w:lang w:eastAsia="zh-CN"/>
        </w:rPr>
        <w:t>绩效评价制度，</w:t>
      </w:r>
      <w:r>
        <w:rPr>
          <w:rFonts w:hint="eastAsia" w:ascii="仿宋_GB2312" w:hAnsi="仿宋_GB2312" w:eastAsia="仿宋_GB2312" w:cs="仿宋_GB2312"/>
          <w:color w:val="auto"/>
          <w:sz w:val="32"/>
          <w:szCs w:val="32"/>
          <w:highlight w:val="none"/>
          <w:lang w:val="en-US" w:eastAsia="zh-CN"/>
        </w:rPr>
        <w:t>加强对科技计划全过程评价，结合科技计划项目特点，采取中长期绩效评价模式</w:t>
      </w:r>
      <w:r>
        <w:rPr>
          <w:rFonts w:hint="eastAsia" w:ascii="仿宋_GB2312" w:hAnsi="仿宋_GB2312" w:eastAsia="仿宋_GB2312" w:cs="仿宋_GB2312"/>
          <w:color w:val="auto"/>
          <w:sz w:val="32"/>
          <w:szCs w:val="32"/>
          <w:highlight w:val="none"/>
          <w:lang w:eastAsia="zh-CN"/>
        </w:rPr>
        <w:t>，提高绩效评价的覆盖面及质量，为科技计划</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lang w:eastAsia="zh-CN"/>
        </w:rPr>
        <w:t>持续优化提供有力支撑；</w:t>
      </w:r>
      <w:r>
        <w:rPr>
          <w:rFonts w:hint="eastAsia" w:ascii="仿宋_GB2312" w:hAnsi="仿宋_GB2312" w:eastAsia="仿宋_GB2312" w:cs="仿宋_GB2312"/>
          <w:color w:val="auto"/>
          <w:sz w:val="32"/>
          <w:szCs w:val="32"/>
          <w:highlight w:val="none"/>
          <w:lang w:val="en-US" w:eastAsia="zh-CN"/>
        </w:rPr>
        <w:t>创新项目申报模式，基础研究自由探索及青年科技创新人才培养等项目的</w:t>
      </w:r>
      <w:r>
        <w:rPr>
          <w:rFonts w:hint="eastAsia" w:ascii="仿宋_GB2312" w:hAnsi="仿宋_GB2312" w:eastAsia="仿宋_GB2312" w:cs="仿宋_GB2312"/>
          <w:color w:val="auto"/>
          <w:sz w:val="32"/>
          <w:szCs w:val="32"/>
          <w:highlight w:val="none"/>
          <w:lang w:eastAsia="zh-CN"/>
        </w:rPr>
        <w:t>申请</w:t>
      </w:r>
      <w:r>
        <w:rPr>
          <w:rFonts w:hint="eastAsia" w:ascii="仿宋_GB2312" w:hAnsi="仿宋_GB2312" w:eastAsia="仿宋_GB2312" w:cs="仿宋_GB2312"/>
          <w:color w:val="auto"/>
          <w:sz w:val="32"/>
          <w:szCs w:val="32"/>
          <w:highlight w:val="none"/>
          <w:lang w:val="en-US" w:eastAsia="zh-CN"/>
        </w:rPr>
        <w:t>指南</w:t>
      </w:r>
      <w:r>
        <w:rPr>
          <w:rFonts w:hint="eastAsia" w:ascii="仿宋_GB2312" w:hAnsi="仿宋_GB2312" w:cs="仿宋_GB2312"/>
          <w:color w:val="auto"/>
          <w:sz w:val="32"/>
          <w:szCs w:val="32"/>
          <w:highlight w:val="none"/>
          <w:lang w:val="en-US" w:eastAsia="zh-CN"/>
        </w:rPr>
        <w:t>中</w:t>
      </w:r>
      <w:r>
        <w:rPr>
          <w:rFonts w:hint="eastAsia" w:ascii="仿宋_GB2312" w:hAnsi="仿宋_GB2312" w:eastAsia="仿宋_GB2312" w:cs="仿宋_GB2312"/>
          <w:color w:val="auto"/>
          <w:sz w:val="32"/>
          <w:szCs w:val="32"/>
          <w:highlight w:val="none"/>
          <w:lang w:val="en-US" w:eastAsia="zh-CN"/>
        </w:rPr>
        <w:t>明确年度立项数量、申报条件、资助强度，引导社会理性申报，提高项目申请质量；改进经费管理方式，</w:t>
      </w:r>
      <w:r>
        <w:rPr>
          <w:rFonts w:hint="eastAsia" w:ascii="仿宋_GB2312" w:hAnsi="仿宋_GB2312" w:eastAsia="仿宋_GB2312" w:cs="仿宋_GB2312"/>
          <w:color w:val="auto"/>
          <w:sz w:val="32"/>
          <w:szCs w:val="32"/>
          <w:highlight w:val="none"/>
          <w:lang w:eastAsia="zh-CN"/>
        </w:rPr>
        <w:t>人才类和基础研究类等科研项目中实施科研项目经费包干制，制定科研经费使用行为负面清单，运用新技术新手段加强对科技专项资金全过程监督。</w:t>
      </w:r>
    </w:p>
    <w:p>
      <w:pPr>
        <w:keepNext w:val="0"/>
        <w:keepLines w:val="0"/>
        <w:pageBreakBefore w:val="0"/>
        <w:widowControl/>
        <w:numPr>
          <w:ilvl w:val="0"/>
          <w:numId w:val="0"/>
        </w:numPr>
        <w:pBdr>
          <w:bottom w:val="none" w:color="auto" w:sz="0" w:space="31"/>
        </w:pBdr>
        <w:kinsoku/>
        <w:wordWrap/>
        <w:overflowPunct/>
        <w:topLinePunct w:val="0"/>
        <w:autoSpaceDE/>
        <w:autoSpaceDN w:val="0"/>
        <w:bidi w:val="0"/>
        <w:adjustRightInd w:val="0"/>
        <w:snapToGrid w:val="0"/>
        <w:spacing w:line="560" w:lineRule="exact"/>
        <w:ind w:firstLine="0" w:firstLineChars="0"/>
        <w:textAlignment w:val="auto"/>
        <w:rPr>
          <w:rFonts w:hint="eastAsia" w:ascii="黑体" w:hAnsi="黑体" w:eastAsia="黑体" w:cs="黑体"/>
          <w:color w:val="auto"/>
          <w:sz w:val="32"/>
          <w:szCs w:val="32"/>
          <w:highlight w:val="none"/>
        </w:rPr>
      </w:pPr>
      <w:r>
        <w:rPr>
          <w:rFonts w:hint="eastAsia" w:ascii="仿宋_GB2312" w:hAnsi="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、其他说明</w:t>
      </w:r>
    </w:p>
    <w:p>
      <w:pPr>
        <w:keepNext w:val="0"/>
        <w:keepLines w:val="0"/>
        <w:pageBreakBefore w:val="0"/>
        <w:widowControl w:val="0"/>
        <w:numPr>
          <w:ilvl w:val="0"/>
          <w:numId w:val="0"/>
        </w:numPr>
        <w:pBdr>
          <w:bottom w:val="none" w:color="auto" w:sz="0" w:space="31"/>
        </w:pBdr>
        <w:kinsoku/>
        <w:wordWrap/>
        <w:overflowPunct/>
        <w:topLinePunct w:val="0"/>
        <w:autoSpaceDE/>
        <w:autoSpaceDN w:val="0"/>
        <w:bidi w:val="0"/>
        <w:adjustRightInd w:val="0"/>
        <w:snapToGrid w:val="0"/>
        <w:spacing w:line="560" w:lineRule="exact"/>
        <w:ind w:right="0" w:rightChars="0"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val="en-US" w:eastAsia="zh-CN"/>
        </w:rPr>
        <w:t>聚焦重点工作。</w:t>
      </w:r>
      <w:r>
        <w:rPr>
          <w:rFonts w:hint="eastAsia" w:ascii="仿宋_GB2312" w:hAnsi="仿宋_GB2312" w:eastAsia="仿宋_GB2312" w:cs="仿宋_GB2312"/>
          <w:color w:val="auto"/>
          <w:sz w:val="32"/>
          <w:szCs w:val="32"/>
          <w:highlight w:val="none"/>
          <w:lang w:val="en-US" w:eastAsia="zh-CN"/>
        </w:rPr>
        <w:t>改革后的科技计划体系，</w:t>
      </w:r>
      <w:r>
        <w:rPr>
          <w:rFonts w:hint="default" w:ascii="仿宋_GB2312" w:hAnsi="仿宋_GB2312" w:eastAsia="仿宋_GB2312" w:cs="仿宋_GB2312"/>
          <w:color w:val="auto"/>
          <w:sz w:val="32"/>
          <w:szCs w:val="32"/>
          <w:highlight w:val="none"/>
          <w:lang w:eastAsia="zh-CN"/>
        </w:rPr>
        <w:t>更加聚焦</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eastAsia="zh-CN"/>
        </w:rPr>
        <w:t>20+8</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eastAsia="zh-CN"/>
        </w:rPr>
        <w:t>产业集群及市委市政府重点任务、重大平台，</w:t>
      </w:r>
      <w:r>
        <w:rPr>
          <w:rFonts w:hint="eastAsia" w:ascii="仿宋_GB2312" w:hAnsi="仿宋_GB2312" w:eastAsia="仿宋_GB2312" w:cs="仿宋_GB2312"/>
          <w:color w:val="auto"/>
          <w:sz w:val="32"/>
          <w:szCs w:val="32"/>
          <w:highlight w:val="none"/>
          <w:lang w:val="en-US" w:eastAsia="zh-CN"/>
        </w:rPr>
        <w:t>对于基础研究、关键核心技术攻关、重点实验室、科技成果转化、科技人才培养等重点工作，进行保留和强化。</w:t>
      </w:r>
    </w:p>
    <w:p>
      <w:pPr>
        <w:keepNext w:val="0"/>
        <w:keepLines w:val="0"/>
        <w:pageBreakBefore w:val="0"/>
        <w:widowControl w:val="0"/>
        <w:numPr>
          <w:ilvl w:val="0"/>
          <w:numId w:val="0"/>
        </w:numPr>
        <w:pBdr>
          <w:bottom w:val="none" w:color="auto" w:sz="0" w:space="31"/>
        </w:pBdr>
        <w:kinsoku/>
        <w:wordWrap/>
        <w:overflowPunct/>
        <w:topLinePunct w:val="0"/>
        <w:autoSpaceDE/>
        <w:autoSpaceDN w:val="0"/>
        <w:bidi w:val="0"/>
        <w:adjustRightInd w:val="0"/>
        <w:snapToGrid w:val="0"/>
        <w:spacing w:line="560" w:lineRule="exact"/>
        <w:ind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val="en-US" w:eastAsia="zh-CN"/>
        </w:rPr>
        <w:t>资助重心转移。</w:t>
      </w:r>
      <w:r>
        <w:rPr>
          <w:rFonts w:hint="eastAsia" w:ascii="仿宋_GB2312" w:hAnsi="仿宋_GB2312" w:eastAsia="仿宋_GB2312" w:cs="仿宋_GB2312"/>
          <w:color w:val="auto"/>
          <w:sz w:val="32"/>
          <w:szCs w:val="32"/>
          <w:highlight w:val="none"/>
          <w:lang w:val="en-US" w:eastAsia="zh-CN"/>
        </w:rPr>
        <w:t>从以往的选项目，逐步转变为“选项目、选人、搭平台”并重，尤其是“技术经理人”的选择和管理，重点实验室和技术创新中心的搭建，将是未来科技管理的重点。</w:t>
      </w:r>
    </w:p>
    <w:p>
      <w:pPr>
        <w:keepNext w:val="0"/>
        <w:keepLines w:val="0"/>
        <w:pageBreakBefore w:val="0"/>
        <w:numPr>
          <w:ilvl w:val="0"/>
          <w:numId w:val="0"/>
        </w:numPr>
        <w:pBdr>
          <w:bottom w:val="none" w:color="auto" w:sz="0" w:space="31"/>
        </w:pBdr>
        <w:kinsoku/>
        <w:wordWrap/>
        <w:overflowPunct/>
        <w:topLinePunct w:val="0"/>
        <w:autoSpaceDE/>
        <w:autoSpaceDN w:val="0"/>
        <w:bidi w:val="0"/>
        <w:adjustRightInd w:val="0"/>
        <w:snapToGrid w:val="0"/>
        <w:spacing w:line="560" w:lineRule="exact"/>
        <w:ind w:firstLine="643"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val="en-US" w:eastAsia="zh-CN"/>
        </w:rPr>
        <w:t>坚持市场导向。</w:t>
      </w:r>
      <w:r>
        <w:rPr>
          <w:rFonts w:hint="eastAsia" w:ascii="仿宋_GB2312" w:hAnsi="仿宋_GB2312" w:eastAsia="仿宋_GB2312" w:cs="仿宋_GB2312"/>
          <w:color w:val="auto"/>
          <w:sz w:val="32"/>
          <w:szCs w:val="32"/>
          <w:highlight w:val="none"/>
          <w:lang w:val="en-US" w:eastAsia="zh-CN"/>
        </w:rPr>
        <w:t>政府重点支持市场不能有效配置资源的基础前沿、社会公益、重大共性关键技术研究等公共科技活动，积极营造良好创新环境，打造重点实验室、技术创新中心等科研平台，激发创新活力，解决好“越位”和“缺位”问题。发挥好市场配置技术创新资源的决定性作用和企业技术创新主体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E3439"/>
    <w:rsid w:val="505E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3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2023-05-19T03:17:00Z</dcterms:created>
  <dc:creator>许勤</dc:creator>
  <cp:lastModifiedBy>许勤</cp:lastModifiedBy>
  <dcterms:modified xsi:type="dcterms:W3CDTF">2023-05-19T03:18:00Z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5D4701EB3BF942CC90CA09A02EDF9EB4</vt:lpwstr>
  </property>
</Properties>
</file>