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color w:val="000000"/>
          <w:sz w:val="44"/>
          <w:szCs w:val="44"/>
          <w:lang w:eastAsia="zh-CN"/>
        </w:rPr>
      </w:pPr>
      <w:r>
        <w:rPr>
          <w:rFonts w:hint="eastAsia" w:ascii="黑体" w:hAnsi="黑体" w:eastAsia="黑体" w:cs="黑体"/>
          <w:color w:val="000000"/>
          <w:sz w:val="32"/>
          <w:szCs w:val="32"/>
          <w:lang w:eastAsia="zh-CN"/>
        </w:rPr>
        <w:t>附件</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深圳市商务局</w:t>
      </w:r>
      <w:r>
        <w:rPr>
          <w:rFonts w:hint="default" w:ascii="方正小标宋简体" w:eastAsia="方正小标宋简体"/>
          <w:color w:val="000000"/>
          <w:sz w:val="44"/>
          <w:szCs w:val="44"/>
        </w:rPr>
        <w:t>2023</w:t>
      </w:r>
      <w:r>
        <w:rPr>
          <w:rFonts w:hint="eastAsia" w:ascii="方正小标宋简体" w:eastAsia="方正小标宋简体"/>
          <w:color w:val="000000"/>
          <w:sz w:val="44"/>
          <w:szCs w:val="44"/>
        </w:rPr>
        <w:t>年度中央资金（</w:t>
      </w:r>
      <w:r>
        <w:rPr>
          <w:rFonts w:ascii="Arial" w:hAnsi="Arial" w:eastAsia="方正小标宋简体" w:cs="Arial"/>
          <w:color w:val="000000"/>
          <w:sz w:val="44"/>
          <w:szCs w:val="44"/>
        </w:rPr>
        <w:t>跨境电子商务企业市场开拓扶持</w:t>
      </w:r>
      <w:r>
        <w:rPr>
          <w:rFonts w:hint="eastAsia" w:ascii="方正小标宋简体" w:eastAsia="方正小标宋简体"/>
          <w:color w:val="000000"/>
          <w:sz w:val="44"/>
          <w:szCs w:val="44"/>
        </w:rPr>
        <w:t>事项）申报指南</w:t>
      </w:r>
    </w:p>
    <w:p>
      <w:pPr>
        <w:spacing w:line="560" w:lineRule="exact"/>
        <w:jc w:val="center"/>
        <w:rPr>
          <w:rFonts w:ascii="方正小标宋简体" w:eastAsia="方正小标宋简体"/>
          <w:color w:val="000000"/>
          <w:sz w:val="44"/>
          <w:szCs w:val="44"/>
        </w:rPr>
      </w:pPr>
    </w:p>
    <w:p>
      <w:pPr>
        <w:spacing w:line="560" w:lineRule="exact"/>
        <w:rPr>
          <w:rFonts w:ascii="黑体" w:hAnsi="黑体" w:eastAsia="黑体"/>
          <w:color w:val="000000"/>
          <w:sz w:val="32"/>
          <w:szCs w:val="32"/>
        </w:rPr>
      </w:pP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一、支持领域</w:t>
      </w:r>
    </w:p>
    <w:p>
      <w:pPr>
        <w:tabs>
          <w:tab w:val="left" w:pos="811"/>
          <w:tab w:val="left" w:pos="1171"/>
        </w:tabs>
        <w:spacing w:line="560" w:lineRule="exact"/>
        <w:ind w:firstLine="640"/>
        <w:rPr>
          <w:rFonts w:hint="eastAsia" w:ascii="仿宋_GB2312" w:eastAsia="仿宋_GB2312"/>
          <w:sz w:val="32"/>
          <w:szCs w:val="32"/>
        </w:rPr>
      </w:pPr>
      <w:r>
        <w:rPr>
          <w:rFonts w:hint="eastAsia" w:ascii="仿宋_GB2312" w:eastAsia="仿宋_GB2312"/>
          <w:sz w:val="32"/>
          <w:szCs w:val="32"/>
        </w:rPr>
        <w:t>进一步提升跨境电子商务高质量发展水平,支持中国（深圳）跨境电子商务综合试验区内具备一定实力的跨境电子商务企业，通过建设海外仓，强化品牌出海的综合服务支撑能力，通过运营独立站，完善自有品牌营销渠道，增强国际市场竞争力。</w:t>
      </w:r>
    </w:p>
    <w:p>
      <w:pPr>
        <w:spacing w:line="560" w:lineRule="exact"/>
        <w:ind w:firstLine="640" w:firstLineChars="200"/>
        <w:rPr>
          <w:rFonts w:ascii="楷体_GB2312" w:hAnsi="楷体_GB2312" w:eastAsia="楷体_GB2312" w:cs="楷体_GB2312"/>
          <w:b/>
          <w:bCs/>
          <w:color w:val="000000"/>
          <w:sz w:val="32"/>
          <w:szCs w:val="32"/>
        </w:rPr>
      </w:pPr>
      <w:r>
        <w:rPr>
          <w:rFonts w:hint="eastAsia" w:ascii="黑体" w:hAnsi="黑体" w:eastAsia="黑体"/>
          <w:color w:val="000000"/>
          <w:sz w:val="32"/>
          <w:szCs w:val="32"/>
        </w:rPr>
        <w:t>二、设定依据</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（一）政策依据</w:t>
      </w:r>
    </w:p>
    <w:p>
      <w:pPr>
        <w:spacing w:line="560" w:lineRule="exact"/>
        <w:ind w:firstLine="64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商务部相关文件</w:t>
      </w:r>
      <w:r>
        <w:rPr>
          <w:rFonts w:hint="eastAsia" w:ascii="仿宋_GB2312" w:eastAsia="仿宋_GB2312"/>
          <w:color w:val="000000"/>
          <w:sz w:val="32"/>
          <w:szCs w:val="32"/>
        </w:rPr>
        <w:t>。</w:t>
      </w:r>
    </w:p>
    <w:p>
      <w:pPr>
        <w:tabs>
          <w:tab w:val="left" w:pos="811"/>
          <w:tab w:val="left" w:pos="1171"/>
        </w:tabs>
        <w:spacing w:line="560" w:lineRule="exact"/>
        <w:ind w:firstLine="640"/>
        <w:rPr>
          <w:rFonts w:hint="eastAsia" w:ascii="楷体_GB2312" w:hAnsi="楷体_GB2312" w:eastAsia="楷体_GB2312" w:cs="楷体_GB2312"/>
          <w:color w:val="000000"/>
          <w:sz w:val="32"/>
          <w:szCs w:val="32"/>
        </w:rPr>
      </w:pPr>
      <w:r>
        <w:rPr>
          <w:rFonts w:ascii="仿宋_GB2312" w:eastAsia="仿宋_GB2312"/>
          <w:sz w:val="32"/>
          <w:szCs w:val="32"/>
        </w:rPr>
        <w:t>2.</w:t>
      </w:r>
      <w:r>
        <w:rPr>
          <w:rFonts w:hint="eastAsia" w:ascii="仿宋_GB2312" w:eastAsia="仿宋_GB2312"/>
          <w:sz w:val="32"/>
          <w:szCs w:val="32"/>
        </w:rPr>
        <w:t>《国务院关于同意在天津等12个城市设立跨境电子商务综合试验区的批复》（国函〔2016〕17号）。</w:t>
      </w:r>
    </w:p>
    <w:p>
      <w:pPr>
        <w:tabs>
          <w:tab w:val="left" w:pos="811"/>
          <w:tab w:val="left" w:pos="1171"/>
        </w:tabs>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（二）管理依据</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hAnsi="仿宋_GB2312" w:eastAsia="仿宋_GB2312"/>
          <w:kern w:val="2"/>
          <w:sz w:val="32"/>
        </w:rPr>
        <w:t>《深圳市商务</w:t>
      </w:r>
      <w:r>
        <w:rPr>
          <w:rFonts w:hint="eastAsia" w:ascii="仿宋_GB2312" w:hAnsi="仿宋_GB2312" w:eastAsia="仿宋_GB2312"/>
          <w:kern w:val="2"/>
          <w:sz w:val="32"/>
          <w:lang w:val="en-US" w:eastAsia="zh-CN"/>
        </w:rPr>
        <w:t>发展</w:t>
      </w:r>
      <w:bookmarkStart w:id="0" w:name="_GoBack"/>
      <w:bookmarkEnd w:id="0"/>
      <w:r>
        <w:rPr>
          <w:rFonts w:hint="eastAsia" w:ascii="仿宋_GB2312" w:hAnsi="仿宋_GB2312" w:eastAsia="仿宋_GB2312"/>
          <w:kern w:val="2"/>
          <w:sz w:val="32"/>
        </w:rPr>
        <w:t>专项资金管理</w:t>
      </w:r>
      <w:r>
        <w:rPr>
          <w:rFonts w:hint="default" w:ascii="仿宋_GB2312" w:hAnsi="仿宋_GB2312" w:eastAsia="仿宋_GB2312"/>
          <w:kern w:val="2"/>
          <w:sz w:val="32"/>
          <w:lang w:val="en-US"/>
        </w:rPr>
        <w:t>办法</w:t>
      </w:r>
      <w:r>
        <w:rPr>
          <w:rFonts w:hint="eastAsia" w:ascii="仿宋_GB2312" w:hAnsi="仿宋_GB2312" w:eastAsia="仿宋_GB2312"/>
          <w:kern w:val="2"/>
          <w:sz w:val="32"/>
        </w:rPr>
        <w:t>》</w:t>
      </w:r>
      <w:r>
        <w:rPr>
          <w:rFonts w:hint="eastAsia" w:ascii="仿宋_GB2312" w:eastAsia="仿宋_GB2312"/>
          <w:sz w:val="32"/>
          <w:szCs w:val="32"/>
        </w:rPr>
        <w:t>（</w:t>
      </w:r>
      <w:r>
        <w:rPr>
          <w:rFonts w:hint="eastAsia" w:ascii="仿宋_GB2312" w:eastAsia="仿宋_GB2312"/>
          <w:sz w:val="32"/>
          <w:szCs w:val="32"/>
          <w:lang w:eastAsia="zh-CN"/>
        </w:rPr>
        <w:t>深商务规</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ascii="仿宋_GB2312" w:eastAsia="仿宋_GB2312"/>
          <w:color w:val="000000"/>
          <w:sz w:val="32"/>
          <w:szCs w:val="32"/>
        </w:rPr>
        <w:t>。</w:t>
      </w:r>
    </w:p>
    <w:p>
      <w:pPr>
        <w:spacing w:line="560" w:lineRule="exact"/>
        <w:ind w:firstLine="630"/>
        <w:rPr>
          <w:rFonts w:ascii="黑体" w:hAnsi="黑体" w:eastAsia="黑体"/>
          <w:color w:val="000000"/>
          <w:sz w:val="32"/>
          <w:szCs w:val="32"/>
        </w:rPr>
      </w:pPr>
      <w:r>
        <w:rPr>
          <w:rFonts w:hint="eastAsia" w:ascii="黑体" w:hAnsi="黑体" w:eastAsia="黑体"/>
          <w:color w:val="000000"/>
          <w:sz w:val="32"/>
          <w:szCs w:val="32"/>
        </w:rPr>
        <w:t>三、支持数量和支持方式</w:t>
      </w:r>
    </w:p>
    <w:p>
      <w:pPr>
        <w:widowControl/>
        <w:shd w:val="clear" w:color="auto" w:fill="FFFFFF"/>
        <w:spacing w:line="560" w:lineRule="exact"/>
        <w:ind w:firstLine="645"/>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（一）支持数量</w:t>
      </w:r>
    </w:p>
    <w:p>
      <w:pPr>
        <w:widowControl/>
        <w:shd w:val="clear" w:color="auto" w:fill="FFFFFF"/>
        <w:spacing w:line="560" w:lineRule="exact"/>
        <w:ind w:firstLine="645"/>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限制，受</w:t>
      </w:r>
      <w:r>
        <w:rPr>
          <w:rFonts w:hint="eastAsia" w:ascii="仿宋_GB2312" w:hAnsi="仿宋_GB2312" w:eastAsia="仿宋_GB2312" w:cs="仿宋_GB2312"/>
          <w:sz w:val="32"/>
          <w:szCs w:val="32"/>
        </w:rPr>
        <w:t>财政部、商务部下达年度资金预算控制。</w:t>
      </w:r>
      <w:r>
        <w:rPr>
          <w:rFonts w:hint="default" w:ascii="仿宋_GB2312" w:hAnsi="仿宋_GB2312" w:eastAsia="仿宋_GB2312" w:cs="仿宋_GB2312"/>
          <w:sz w:val="32"/>
          <w:szCs w:val="32"/>
        </w:rPr>
        <w:t>奖励</w:t>
      </w:r>
      <w:r>
        <w:rPr>
          <w:rFonts w:hint="eastAsia" w:ascii="仿宋_GB2312" w:hAnsi="仿宋_GB2312" w:eastAsia="仿宋_GB2312" w:cs="仿宋_GB2312"/>
          <w:color w:val="000000"/>
          <w:sz w:val="32"/>
          <w:szCs w:val="32"/>
        </w:rPr>
        <w:t>金额以万元为单位按舍尾法取整，且原则上不得大于实际发生/投入金额。</w:t>
      </w:r>
      <w:r>
        <w:rPr>
          <w:rFonts w:hint="eastAsia" w:ascii="仿宋_GB2312" w:hAnsi="仿宋_GB2312" w:eastAsia="仿宋_GB2312" w:cs="宋体"/>
          <w:color w:val="000000"/>
          <w:kern w:val="0"/>
          <w:sz w:val="32"/>
          <w:szCs w:val="32"/>
        </w:rPr>
        <w:t>市商</w:t>
      </w:r>
      <w:r>
        <w:rPr>
          <w:rFonts w:hint="eastAsia" w:ascii="仿宋_GB2312" w:hAnsi="仿宋_GB2312" w:eastAsia="仿宋_GB2312" w:cs="宋体"/>
          <w:kern w:val="0"/>
          <w:sz w:val="32"/>
          <w:szCs w:val="32"/>
        </w:rPr>
        <w:t>务局视申报情况和预算安排，据以对</w:t>
      </w:r>
      <w:r>
        <w:rPr>
          <w:rFonts w:hint="default" w:ascii="仿宋_GB2312" w:hAnsi="仿宋_GB2312" w:eastAsia="仿宋_GB2312" w:cs="宋体"/>
          <w:kern w:val="0"/>
          <w:sz w:val="32"/>
          <w:szCs w:val="32"/>
        </w:rPr>
        <w:t>奖励</w:t>
      </w:r>
      <w:r>
        <w:rPr>
          <w:rFonts w:hint="eastAsia" w:ascii="仿宋_GB2312" w:hAnsi="仿宋_GB2312" w:eastAsia="仿宋_GB2312" w:cs="宋体"/>
          <w:kern w:val="0"/>
          <w:sz w:val="32"/>
          <w:szCs w:val="32"/>
        </w:rPr>
        <w:t>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支持方式</w:t>
      </w:r>
    </w:p>
    <w:p>
      <w:pPr>
        <w:widowControl/>
        <w:shd w:val="clear" w:color="auto" w:fill="FFFFFF"/>
        <w:spacing w:line="560" w:lineRule="exact"/>
        <w:ind w:firstLine="645"/>
        <w:jc w:val="left"/>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事后奖励。</w:t>
      </w:r>
    </w:p>
    <w:p>
      <w:pPr>
        <w:spacing w:line="560" w:lineRule="exact"/>
        <w:ind w:firstLine="640"/>
        <w:rPr>
          <w:rFonts w:ascii="仿宋_GB2312" w:eastAsia="仿宋_GB2312"/>
          <w:color w:val="000000"/>
          <w:sz w:val="32"/>
          <w:szCs w:val="32"/>
        </w:rPr>
      </w:pPr>
      <w:r>
        <w:rPr>
          <w:rFonts w:hint="eastAsia" w:ascii="黑体" w:hAnsi="黑体" w:eastAsia="黑体" w:cs="黑体"/>
          <w:color w:val="000000"/>
          <w:sz w:val="32"/>
          <w:szCs w:val="32"/>
        </w:rPr>
        <w:t>四、申报条件</w:t>
      </w:r>
    </w:p>
    <w:p>
      <w:pPr>
        <w:widowControl/>
        <w:shd w:val="clear" w:color="auto" w:fill="FFFFFF"/>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（一）基本条件</w:t>
      </w:r>
    </w:p>
    <w:p>
      <w:pPr>
        <w:widowControl/>
        <w:shd w:val="clear" w:color="auto" w:fill="FFFFFF"/>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sz w:val="32"/>
          <w:szCs w:val="32"/>
        </w:rPr>
        <w:t>1.申报单位为在深圳市行政区域内依法登记注册，具有独立法人资格的企业</w:t>
      </w:r>
      <w:r>
        <w:rPr>
          <w:rFonts w:ascii="仿宋_GB2312" w:hAnsi="仿宋_GB2312" w:eastAsia="仿宋_GB2312"/>
          <w:sz w:val="32"/>
          <w:szCs w:val="32"/>
        </w:rPr>
        <w:t>。</w:t>
      </w:r>
      <w:r>
        <w:rPr>
          <w:rFonts w:hint="eastAsia" w:ascii="仿宋_GB2312" w:hAnsi="仿宋_GB2312" w:eastAsia="仿宋_GB2312" w:cs="仿宋_GB2312"/>
          <w:color w:val="000000"/>
          <w:sz w:val="32"/>
          <w:szCs w:val="32"/>
        </w:rPr>
        <w:t>企业已在项目所在国（地区）依法注册或办理合法手续，项目合同或合作协议已生效。</w:t>
      </w:r>
    </w:p>
    <w:p>
      <w:pPr>
        <w:widowControl/>
        <w:shd w:val="clear" w:color="auto" w:fill="FFFFFF"/>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申报单位未被国家、省、市有关部门列入严重失信主体名单实施失信惩戒，明确限制申请财政性资金项目，且在限制期内</w:t>
      </w:r>
      <w:r>
        <w:rPr>
          <w:rFonts w:ascii="仿宋_GB2312" w:hAnsi="仿宋_GB2312" w:eastAsia="仿宋_GB2312" w:cs="仿宋_GB2312"/>
          <w:color w:val="000000"/>
          <w:sz w:val="32"/>
          <w:szCs w:val="32"/>
        </w:rPr>
        <w:t>。</w:t>
      </w:r>
    </w:p>
    <w:p>
      <w:pPr>
        <w:widowControl/>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3.申报单位近</w:t>
      </w:r>
      <w:r>
        <w:rPr>
          <w:rFonts w:ascii="仿宋_GB2312" w:eastAsia="仿宋_GB2312"/>
          <w:color w:val="000000"/>
          <w:sz w:val="32"/>
          <w:szCs w:val="32"/>
        </w:rPr>
        <w:t>三</w:t>
      </w:r>
      <w:r>
        <w:rPr>
          <w:rFonts w:hint="eastAsia" w:ascii="仿宋_GB2312" w:eastAsia="仿宋_GB2312"/>
          <w:color w:val="000000"/>
          <w:sz w:val="32"/>
          <w:szCs w:val="32"/>
        </w:rPr>
        <w:t>年</w:t>
      </w:r>
      <w:r>
        <w:rPr>
          <w:rFonts w:ascii="仿宋_GB2312" w:eastAsia="仿宋_GB2312"/>
          <w:color w:val="000000"/>
          <w:sz w:val="32"/>
          <w:szCs w:val="32"/>
        </w:rPr>
        <w:t>不存在</w:t>
      </w:r>
      <w:r>
        <w:rPr>
          <w:rFonts w:hint="eastAsia" w:ascii="仿宋_GB2312" w:eastAsia="仿宋_GB2312"/>
          <w:color w:val="000000"/>
          <w:sz w:val="32"/>
          <w:szCs w:val="32"/>
        </w:rPr>
        <w:t>严重违法违规行为，未拖欠应缴还的财政性资金</w:t>
      </w:r>
      <w:r>
        <w:rPr>
          <w:rFonts w:ascii="仿宋_GB2312" w:eastAsia="仿宋_GB2312"/>
          <w:color w:val="000000"/>
          <w:sz w:val="32"/>
          <w:szCs w:val="32"/>
        </w:rPr>
        <w:t>。</w:t>
      </w:r>
    </w:p>
    <w:p>
      <w:pPr>
        <w:pStyle w:val="2"/>
        <w:spacing w:line="560" w:lineRule="exact"/>
        <w:ind w:firstLine="640" w:firstLineChars="200"/>
        <w:rPr>
          <w:rFonts w:hint="eastAsia" w:eastAsia="仿宋_GB2312"/>
        </w:rPr>
      </w:pPr>
      <w:r>
        <w:rPr>
          <w:rFonts w:hint="eastAsia" w:ascii="仿宋_GB2312" w:hAnsi="仿宋_GB2312" w:eastAsia="仿宋_GB2312" w:cs="仿宋_GB2312"/>
          <w:color w:val="000000"/>
          <w:sz w:val="32"/>
          <w:szCs w:val="32"/>
        </w:rPr>
        <w:t>4.申报单位应承担资金真实申报、合规使用和有效管理；应对申报材料的真实性、合法性、完整性负责，应如实提供本单位信用状况，承担违约责任并作出承诺，不得弄虚作假、套取、骗取财政资金。</w:t>
      </w:r>
    </w:p>
    <w:p>
      <w:pPr>
        <w:widowControl/>
        <w:shd w:val="clear" w:color="auto" w:fill="FFFFFF"/>
        <w:tabs>
          <w:tab w:val="left" w:pos="1159"/>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5.申报项目</w:t>
      </w:r>
      <w:r>
        <w:rPr>
          <w:rFonts w:ascii="仿宋_GB2312" w:eastAsia="仿宋_GB2312"/>
          <w:color w:val="000000"/>
          <w:sz w:val="32"/>
          <w:szCs w:val="32"/>
        </w:rPr>
        <w:t>未以</w:t>
      </w:r>
      <w:r>
        <w:rPr>
          <w:rFonts w:hint="eastAsia" w:ascii="仿宋_GB2312" w:eastAsia="仿宋_GB2312"/>
          <w:color w:val="000000"/>
          <w:sz w:val="32"/>
          <w:szCs w:val="32"/>
        </w:rPr>
        <w:t>同一事项</w:t>
      </w:r>
      <w:r>
        <w:rPr>
          <w:rFonts w:ascii="仿宋_GB2312" w:eastAsia="仿宋_GB2312"/>
          <w:color w:val="000000"/>
          <w:sz w:val="32"/>
          <w:szCs w:val="32"/>
        </w:rPr>
        <w:t>从其他渠道获得中央财政资金支持。</w:t>
      </w:r>
    </w:p>
    <w:p>
      <w:pPr>
        <w:widowControl/>
        <w:shd w:val="clear" w:color="auto" w:fill="FFFFFF"/>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w:t>
      </w:r>
      <w:r>
        <w:rPr>
          <w:rFonts w:ascii="楷体_GB2312" w:hAnsi="楷体_GB2312" w:eastAsia="楷体_GB2312" w:cs="楷体_GB2312"/>
          <w:color w:val="000000"/>
          <w:sz w:val="32"/>
          <w:szCs w:val="32"/>
        </w:rPr>
        <w:t>专项条件</w:t>
      </w:r>
    </w:p>
    <w:p>
      <w:pPr>
        <w:widowControl/>
        <w:shd w:val="clear" w:color="auto" w:fill="FFFFFF"/>
        <w:tabs>
          <w:tab w:val="left" w:pos="1159"/>
        </w:tabs>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1.跨境电子商务独立站项目</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（1）独立站</w:t>
      </w:r>
      <w:r>
        <w:rPr>
          <w:rFonts w:hint="default" w:ascii="仿宋_GB2312" w:hAnsi="仿宋_GB2312" w:eastAsia="仿宋_GB2312" w:cs="仿宋_GB2312"/>
          <w:sz w:val="32"/>
          <w:szCs w:val="32"/>
          <w:shd w:val="clear" w:color="auto" w:fill="FFFFFF"/>
        </w:rPr>
        <w:t>2021</w:t>
      </w:r>
      <w:r>
        <w:rPr>
          <w:rFonts w:hint="eastAsia" w:ascii="仿宋_GB2312" w:hAnsi="仿宋_GB2312" w:eastAsia="仿宋_GB2312" w:cs="仿宋_GB2312"/>
          <w:sz w:val="32"/>
          <w:szCs w:val="32"/>
          <w:shd w:val="clear" w:color="auto" w:fill="FFFFFF"/>
        </w:rPr>
        <w:t>年1月1日前上线运营，且持续运营情况良好，具有可持续性；</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（2）独立站近一年（</w:t>
      </w:r>
      <w:r>
        <w:rPr>
          <w:rFonts w:hint="default" w:ascii="仿宋_GB2312" w:hAnsi="仿宋_GB2312" w:eastAsia="仿宋_GB2312" w:cs="仿宋_GB2312"/>
          <w:sz w:val="32"/>
          <w:szCs w:val="32"/>
          <w:shd w:val="clear" w:color="auto" w:fill="FFFFFF"/>
        </w:rPr>
        <w:t>2022</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w:t>
      </w:r>
      <w:r>
        <w:rPr>
          <w:rFonts w:hint="default" w:ascii="仿宋_GB2312" w:hAnsi="仿宋_GB2312" w:eastAsia="仿宋_GB2312" w:cs="仿宋_GB2312"/>
          <w:sz w:val="32"/>
          <w:szCs w:val="32"/>
          <w:shd w:val="clear" w:color="auto" w:fill="FFFFFF"/>
        </w:rPr>
        <w:t>2023</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月）平均每月销售额30万美元（含30万</w:t>
      </w:r>
      <w:r>
        <w:rPr>
          <w:rFonts w:hint="default" w:ascii="仿宋_GB2312" w:hAnsi="仿宋_GB2312" w:eastAsia="仿宋_GB2312" w:cs="仿宋_GB2312"/>
          <w:sz w:val="32"/>
          <w:szCs w:val="32"/>
          <w:shd w:val="clear" w:color="auto" w:fill="FFFFFF"/>
        </w:rPr>
        <w:t>美元</w:t>
      </w:r>
      <w:r>
        <w:rPr>
          <w:rFonts w:hint="eastAsia" w:ascii="仿宋_GB2312" w:hAnsi="仿宋_GB2312" w:eastAsia="仿宋_GB2312" w:cs="仿宋_GB2312"/>
          <w:sz w:val="32"/>
          <w:szCs w:val="32"/>
          <w:shd w:val="clear" w:color="auto" w:fill="FFFFFF"/>
        </w:rPr>
        <w:t>）以上；</w:t>
      </w:r>
    </w:p>
    <w:p>
      <w:pPr>
        <w:pStyle w:val="3"/>
        <w:widowControl/>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shd w:val="clear" w:color="auto" w:fill="FFFFFF"/>
        </w:rPr>
        <w:t>（3）</w:t>
      </w:r>
      <w:r>
        <w:rPr>
          <w:rFonts w:hint="eastAsia" w:ascii="仿宋_GB2312" w:eastAsia="仿宋_GB2312"/>
          <w:sz w:val="32"/>
          <w:szCs w:val="32"/>
        </w:rPr>
        <w:t>申报</w:t>
      </w:r>
      <w:r>
        <w:rPr>
          <w:rFonts w:hint="default" w:ascii="仿宋_GB2312" w:eastAsia="仿宋_GB2312"/>
          <w:sz w:val="32"/>
          <w:szCs w:val="32"/>
        </w:rPr>
        <w:t>单位</w:t>
      </w:r>
      <w:r>
        <w:rPr>
          <w:rFonts w:hint="eastAsia" w:ascii="仿宋_GB2312" w:eastAsia="仿宋_GB2312"/>
          <w:sz w:val="32"/>
          <w:szCs w:val="32"/>
        </w:rPr>
        <w:t>需直接或间接持有申报独立站域名所有权主体不少于50%的股份；</w:t>
      </w:r>
    </w:p>
    <w:p>
      <w:pPr>
        <w:pStyle w:val="3"/>
        <w:widowControl/>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（4）独立站</w:t>
      </w:r>
      <w:r>
        <w:rPr>
          <w:rFonts w:hint="eastAsia" w:ascii="仿宋_GB2312" w:hAnsi="仿宋_GB2312" w:eastAsia="仿宋_GB2312" w:cs="仿宋_GB2312"/>
          <w:sz w:val="32"/>
          <w:szCs w:val="32"/>
          <w:shd w:val="clear" w:color="auto" w:fill="FFFFFF"/>
        </w:rPr>
        <w:t>近一年（</w:t>
      </w:r>
      <w:r>
        <w:rPr>
          <w:rFonts w:hint="default" w:ascii="仿宋_GB2312" w:hAnsi="仿宋_GB2312" w:eastAsia="仿宋_GB2312" w:cs="仿宋_GB2312"/>
          <w:sz w:val="32"/>
          <w:szCs w:val="32"/>
          <w:shd w:val="clear" w:color="auto" w:fill="FFFFFF"/>
        </w:rPr>
        <w:t>2022</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月-202</w:t>
      </w:r>
      <w:r>
        <w:rPr>
          <w:rFonts w:hint="default"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月）</w:t>
      </w:r>
      <w:r>
        <w:rPr>
          <w:rFonts w:hint="eastAsia" w:ascii="仿宋_GB2312" w:eastAsia="仿宋_GB2312"/>
          <w:sz w:val="32"/>
          <w:szCs w:val="32"/>
        </w:rPr>
        <w:t>商品销售收入中自有品牌产品销售收入占比不低于50%。</w:t>
      </w:r>
    </w:p>
    <w:p>
      <w:pPr>
        <w:widowControl/>
        <w:shd w:val="clear" w:color="auto" w:fill="FFFFFF"/>
        <w:tabs>
          <w:tab w:val="left" w:pos="1159"/>
        </w:tabs>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2.跨境电子商务公共海外仓项目</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申报</w:t>
      </w:r>
      <w:r>
        <w:rPr>
          <w:rFonts w:hint="default" w:ascii="仿宋_GB2312" w:hAnsi="仿宋_GB2312" w:eastAsia="仿宋_GB2312" w:cs="仿宋_GB2312"/>
          <w:sz w:val="32"/>
          <w:szCs w:val="32"/>
          <w:shd w:val="clear" w:color="auto" w:fill="FFFFFF"/>
        </w:rPr>
        <w:t>单位</w:t>
      </w:r>
      <w:r>
        <w:rPr>
          <w:rFonts w:hint="eastAsia" w:ascii="仿宋_GB2312" w:hAnsi="仿宋_GB2312" w:eastAsia="仿宋_GB2312" w:cs="仿宋_GB2312"/>
          <w:sz w:val="32"/>
          <w:szCs w:val="32"/>
          <w:shd w:val="clear" w:color="auto" w:fill="FFFFFF"/>
        </w:rPr>
        <w:t>在境外运营的公共海外仓项目被广东省商务厅认定为第</w:t>
      </w:r>
      <w:r>
        <w:rPr>
          <w:rFonts w:hint="default"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shd w:val="clear" w:color="auto" w:fill="FFFFFF"/>
        </w:rPr>
        <w:t>批省级公共海外仓，且申报项目未获得过中央资金资助或奖励。</w:t>
      </w:r>
    </w:p>
    <w:p>
      <w:pPr>
        <w:tabs>
          <w:tab w:val="center" w:pos="4153"/>
        </w:tabs>
        <w:spacing w:line="560" w:lineRule="exact"/>
        <w:ind w:firstLine="630"/>
        <w:rPr>
          <w:rFonts w:ascii="黑体" w:hAnsi="黑体" w:eastAsia="黑体" w:cs="黑体"/>
          <w:bCs/>
          <w:color w:val="000000"/>
          <w:sz w:val="32"/>
          <w:szCs w:val="32"/>
        </w:rPr>
      </w:pPr>
      <w:r>
        <w:rPr>
          <w:rFonts w:hint="eastAsia" w:ascii="黑体" w:hAnsi="黑体" w:eastAsia="黑体" w:cs="黑体"/>
          <w:bCs/>
          <w:color w:val="000000"/>
          <w:sz w:val="32"/>
          <w:szCs w:val="32"/>
        </w:rPr>
        <w:t>五、支持内容和支持标准</w:t>
      </w:r>
      <w:r>
        <w:rPr>
          <w:rFonts w:hint="eastAsia" w:ascii="黑体" w:hAnsi="黑体" w:eastAsia="黑体" w:cs="黑体"/>
          <w:bCs/>
          <w:color w:val="000000"/>
          <w:sz w:val="32"/>
          <w:szCs w:val="32"/>
        </w:rPr>
        <w:tab/>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（一）跨境电子商务独立站项目</w:t>
      </w:r>
    </w:p>
    <w:p>
      <w:pPr>
        <w:spacing w:line="560" w:lineRule="exact"/>
        <w:ind w:firstLine="630"/>
        <w:rPr>
          <w:rFonts w:hint="eastAsia" w:ascii="仿宋_GB2312" w:eastAsia="仿宋_GB2312"/>
          <w:sz w:val="32"/>
          <w:szCs w:val="32"/>
        </w:rPr>
      </w:pPr>
      <w:r>
        <w:rPr>
          <w:rFonts w:hint="eastAsia" w:ascii="仿宋_GB2312" w:eastAsia="仿宋_GB2312"/>
          <w:b/>
          <w:bCs/>
          <w:sz w:val="32"/>
          <w:szCs w:val="32"/>
        </w:rPr>
        <w:t>支持内容：</w:t>
      </w:r>
      <w:r>
        <w:rPr>
          <w:rFonts w:hint="eastAsia" w:ascii="仿宋_GB2312" w:eastAsia="仿宋_GB2312"/>
          <w:sz w:val="32"/>
          <w:szCs w:val="32"/>
        </w:rPr>
        <w:t>鼓励支持有条件的企业通过应用独立站开展跨境电子商务业务，对带动企业品牌出海成效较好的独立站项目予以奖励。</w:t>
      </w:r>
    </w:p>
    <w:p>
      <w:pPr>
        <w:pStyle w:val="3"/>
        <w:widowControl/>
        <w:shd w:val="clear" w:color="auto" w:fill="FFFFFF"/>
        <w:spacing w:before="0" w:beforeAutospacing="0" w:after="0" w:afterAutospacing="0"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支持标准：</w:t>
      </w:r>
      <w:r>
        <w:rPr>
          <w:rFonts w:hint="eastAsia" w:ascii="仿宋_GB2312" w:eastAsia="仿宋_GB2312"/>
          <w:sz w:val="32"/>
          <w:szCs w:val="32"/>
        </w:rPr>
        <w:t>对符合</w:t>
      </w:r>
      <w:r>
        <w:rPr>
          <w:rFonts w:ascii="仿宋_GB2312" w:eastAsia="仿宋_GB2312"/>
          <w:sz w:val="32"/>
          <w:szCs w:val="32"/>
        </w:rPr>
        <w:t>申请</w:t>
      </w:r>
      <w:r>
        <w:rPr>
          <w:rFonts w:hint="eastAsia" w:ascii="仿宋_GB2312" w:eastAsia="仿宋_GB2312"/>
          <w:sz w:val="32"/>
          <w:szCs w:val="32"/>
        </w:rPr>
        <w:t>条件的独立站项目，每个项目</w:t>
      </w:r>
      <w:r>
        <w:rPr>
          <w:rFonts w:hint="default" w:ascii="仿宋_GB2312" w:eastAsia="仿宋_GB2312"/>
          <w:sz w:val="32"/>
          <w:szCs w:val="32"/>
        </w:rPr>
        <w:t>最高</w:t>
      </w:r>
      <w:r>
        <w:rPr>
          <w:rFonts w:hint="eastAsia" w:ascii="仿宋_GB2312" w:eastAsia="仿宋_GB2312"/>
          <w:sz w:val="32"/>
          <w:szCs w:val="32"/>
        </w:rPr>
        <w:t>给予</w:t>
      </w:r>
      <w:r>
        <w:rPr>
          <w:rFonts w:hint="default" w:ascii="仿宋_GB2312" w:eastAsia="仿宋_GB2312"/>
          <w:sz w:val="32"/>
          <w:szCs w:val="32"/>
        </w:rPr>
        <w:t>100</w:t>
      </w:r>
      <w:r>
        <w:rPr>
          <w:rFonts w:hint="eastAsia" w:ascii="仿宋_GB2312" w:eastAsia="仿宋_GB2312"/>
          <w:sz w:val="32"/>
          <w:szCs w:val="32"/>
        </w:rPr>
        <w:t>万元奖励。已获得过中央资金资助的</w:t>
      </w:r>
      <w:r>
        <w:rPr>
          <w:rFonts w:hint="default" w:ascii="仿宋_GB2312" w:eastAsia="仿宋_GB2312"/>
          <w:sz w:val="32"/>
          <w:szCs w:val="32"/>
        </w:rPr>
        <w:t>独立站</w:t>
      </w:r>
      <w:r>
        <w:rPr>
          <w:rFonts w:hint="eastAsia" w:ascii="仿宋_GB2312" w:eastAsia="仿宋_GB2312"/>
          <w:sz w:val="32"/>
          <w:szCs w:val="32"/>
        </w:rPr>
        <w:t>项目不再重复</w:t>
      </w:r>
      <w:r>
        <w:rPr>
          <w:rFonts w:hint="default" w:ascii="仿宋_GB2312" w:hAnsi="仿宋_GB2312" w:eastAsia="仿宋_GB2312" w:cs="仿宋_GB2312"/>
          <w:sz w:val="32"/>
          <w:szCs w:val="32"/>
          <w:shd w:val="clear" w:color="auto" w:fill="FFFFFF"/>
        </w:rPr>
        <w:t>奖励</w:t>
      </w:r>
      <w:r>
        <w:rPr>
          <w:rFonts w:hint="eastAsia" w:ascii="仿宋_GB2312" w:hAnsi="仿宋_GB2312" w:eastAsia="仿宋_GB2312" w:cs="仿宋_GB2312"/>
          <w:sz w:val="32"/>
          <w:szCs w:val="32"/>
          <w:shd w:val="clear" w:color="auto" w:fill="FFFFFF"/>
        </w:rPr>
        <w:t>。</w:t>
      </w:r>
    </w:p>
    <w:p>
      <w:pPr>
        <w:pStyle w:val="3"/>
        <w:widowControl/>
        <w:shd w:val="clear" w:color="auto" w:fill="FFFFFF"/>
        <w:spacing w:before="0" w:beforeAutospacing="0" w:after="0" w:afterAutospacing="0" w:line="560" w:lineRule="exact"/>
        <w:ind w:firstLine="640" w:firstLineChars="200"/>
        <w:jc w:val="both"/>
        <w:rPr>
          <w:rFonts w:hint="eastAsia" w:eastAsia="仿宋_GB2312"/>
          <w:sz w:val="32"/>
        </w:rPr>
      </w:pPr>
      <w:r>
        <w:rPr>
          <w:rFonts w:hint="eastAsia" w:ascii="仿宋_GB2312" w:hAnsi="仿宋_GB2312" w:eastAsia="仿宋_GB2312" w:cs="仿宋_GB2312"/>
          <w:sz w:val="32"/>
          <w:szCs w:val="32"/>
          <w:shd w:val="clear" w:color="auto" w:fill="FFFFFF"/>
        </w:rPr>
        <w:t>每个企业申报</w:t>
      </w:r>
      <w:r>
        <w:rPr>
          <w:rFonts w:hint="default" w:ascii="仿宋_GB2312" w:hAnsi="仿宋_GB2312" w:eastAsia="仿宋_GB2312" w:cs="仿宋_GB2312"/>
          <w:sz w:val="32"/>
          <w:szCs w:val="32"/>
          <w:shd w:val="clear" w:color="auto" w:fill="FFFFFF"/>
        </w:rPr>
        <w:t>奖励</w:t>
      </w:r>
      <w:r>
        <w:rPr>
          <w:rFonts w:hint="eastAsia" w:ascii="仿宋_GB2312" w:hAnsi="仿宋_GB2312" w:eastAsia="仿宋_GB2312" w:cs="仿宋_GB2312"/>
          <w:sz w:val="32"/>
          <w:szCs w:val="32"/>
          <w:shd w:val="clear" w:color="auto" w:fill="FFFFFF"/>
        </w:rPr>
        <w:t>的独立站项目数量不超过2个，其相关联企业不得重复申报。</w:t>
      </w:r>
    </w:p>
    <w:p>
      <w:pPr>
        <w:spacing w:line="560" w:lineRule="exact"/>
        <w:ind w:firstLine="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（二）跨境电子商务公共海外仓项目</w:t>
      </w:r>
    </w:p>
    <w:p>
      <w:pPr>
        <w:spacing w:line="560" w:lineRule="exact"/>
        <w:ind w:firstLine="630"/>
        <w:rPr>
          <w:rFonts w:hint="eastAsia" w:ascii="仿宋_GB2312" w:eastAsia="仿宋_GB2312"/>
          <w:sz w:val="32"/>
          <w:szCs w:val="32"/>
        </w:rPr>
      </w:pPr>
      <w:r>
        <w:rPr>
          <w:rFonts w:hint="eastAsia" w:ascii="仿宋_GB2312" w:eastAsia="仿宋_GB2312"/>
          <w:b/>
          <w:bCs/>
          <w:sz w:val="32"/>
          <w:szCs w:val="32"/>
        </w:rPr>
        <w:t>支持内容：</w:t>
      </w:r>
      <w:r>
        <w:rPr>
          <w:rFonts w:hint="eastAsia" w:ascii="仿宋_GB2312" w:hAnsi="仿宋_GB2312" w:eastAsia="仿宋_GB2312" w:cs="仿宋_GB2312"/>
          <w:kern w:val="0"/>
          <w:sz w:val="32"/>
          <w:szCs w:val="32"/>
          <w:shd w:val="clear" w:color="auto" w:fill="FFFFFF"/>
          <w:lang w:val="en-US" w:eastAsia="zh-CN" w:bidi="ar"/>
        </w:rPr>
        <w:t>鼓励有实力的企业在境外建设优质公共海外仓项目，</w:t>
      </w:r>
      <w:r>
        <w:rPr>
          <w:rFonts w:hint="default" w:ascii="仿宋_GB2312" w:hAnsi="仿宋_GB2312" w:eastAsia="仿宋_GB2312" w:cs="仿宋_GB2312"/>
          <w:kern w:val="0"/>
          <w:sz w:val="32"/>
          <w:szCs w:val="32"/>
          <w:shd w:val="clear" w:color="auto" w:fill="FFFFFF"/>
          <w:lang w:val="en-US" w:eastAsia="zh-CN" w:bidi="ar"/>
        </w:rPr>
        <w:t>加大数字化、智能化仓储技术研发投入，</w:t>
      </w:r>
      <w:r>
        <w:rPr>
          <w:rFonts w:hint="eastAsia" w:ascii="仿宋_GB2312" w:hAnsi="仿宋_GB2312" w:eastAsia="仿宋_GB2312" w:cs="仿宋_GB2312"/>
          <w:kern w:val="0"/>
          <w:sz w:val="32"/>
          <w:szCs w:val="32"/>
          <w:shd w:val="clear" w:color="auto" w:fill="FFFFFF"/>
          <w:lang w:val="en-US" w:eastAsia="zh-CN" w:bidi="ar"/>
        </w:rPr>
        <w:t>为跨境电子</w:t>
      </w:r>
      <w:r>
        <w:rPr>
          <w:rFonts w:hint="eastAsia" w:ascii="仿宋_GB2312" w:eastAsia="仿宋_GB2312"/>
          <w:sz w:val="32"/>
          <w:szCs w:val="32"/>
        </w:rPr>
        <w:t>商务企业开拓海外市场、扩大产品出口、提升品牌影响力提供综合配套服务。</w:t>
      </w:r>
    </w:p>
    <w:p>
      <w:pPr>
        <w:pStyle w:val="3"/>
        <w:widowControl/>
        <w:shd w:val="clear" w:color="auto" w:fill="FFFFFF"/>
        <w:spacing w:before="0" w:beforeAutospacing="0" w:after="0" w:afterAutospacing="0"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eastAsia="仿宋_GB2312"/>
          <w:b/>
          <w:bCs/>
          <w:sz w:val="32"/>
          <w:szCs w:val="32"/>
        </w:rPr>
        <w:t>支持标准：</w:t>
      </w:r>
      <w:r>
        <w:rPr>
          <w:rFonts w:hint="eastAsia" w:ascii="仿宋_GB2312" w:hAnsi="仿宋_GB2312" w:eastAsia="仿宋_GB2312" w:cs="仿宋_GB2312"/>
          <w:kern w:val="0"/>
          <w:sz w:val="32"/>
          <w:szCs w:val="32"/>
          <w:shd w:val="clear" w:color="auto" w:fill="FFFFFF"/>
          <w:lang w:val="en-US" w:eastAsia="zh-CN" w:bidi="ar"/>
        </w:rPr>
        <w:t>被广东省商务厅认定为第</w:t>
      </w:r>
      <w:r>
        <w:rPr>
          <w:rFonts w:hint="default" w:ascii="仿宋_GB2312" w:hAnsi="仿宋_GB2312" w:eastAsia="仿宋_GB2312" w:cs="仿宋_GB2312"/>
          <w:kern w:val="0"/>
          <w:sz w:val="32"/>
          <w:szCs w:val="32"/>
          <w:shd w:val="clear" w:color="auto" w:fill="FFFFFF"/>
          <w:lang w:val="en-US" w:eastAsia="zh-CN" w:bidi="ar"/>
        </w:rPr>
        <w:t>三</w:t>
      </w:r>
      <w:r>
        <w:rPr>
          <w:rFonts w:hint="eastAsia" w:ascii="仿宋_GB2312" w:hAnsi="仿宋_GB2312" w:eastAsia="仿宋_GB2312" w:cs="仿宋_GB2312"/>
          <w:kern w:val="0"/>
          <w:sz w:val="32"/>
          <w:szCs w:val="32"/>
          <w:shd w:val="clear" w:color="auto" w:fill="FFFFFF"/>
          <w:lang w:val="en-US" w:eastAsia="zh-CN" w:bidi="ar"/>
        </w:rPr>
        <w:t>批省级公共海外仓</w:t>
      </w:r>
      <w:r>
        <w:rPr>
          <w:rFonts w:hint="default" w:ascii="仿宋_GB2312" w:hAnsi="仿宋_GB2312" w:eastAsia="仿宋_GB2312" w:cs="仿宋_GB2312"/>
          <w:kern w:val="0"/>
          <w:sz w:val="32"/>
          <w:szCs w:val="32"/>
          <w:shd w:val="clear" w:color="auto" w:fill="FFFFFF"/>
          <w:lang w:val="en-US" w:eastAsia="zh-CN" w:bidi="ar"/>
        </w:rPr>
        <w:t>且未被取消资格的</w:t>
      </w:r>
      <w:r>
        <w:rPr>
          <w:rFonts w:hint="eastAsia" w:ascii="仿宋_GB2312" w:hAnsi="仿宋_GB2312" w:eastAsia="仿宋_GB2312" w:cs="仿宋_GB2312"/>
          <w:kern w:val="0"/>
          <w:sz w:val="32"/>
          <w:szCs w:val="32"/>
          <w:shd w:val="clear" w:color="auto" w:fill="FFFFFF"/>
          <w:lang w:val="en-US" w:eastAsia="zh-CN" w:bidi="ar"/>
        </w:rPr>
        <w:t>，</w:t>
      </w:r>
      <w:r>
        <w:rPr>
          <w:rFonts w:hint="default" w:ascii="仿宋_GB2312" w:hAnsi="仿宋_GB2312" w:eastAsia="仿宋_GB2312" w:cs="仿宋_GB2312"/>
          <w:kern w:val="0"/>
          <w:sz w:val="32"/>
          <w:szCs w:val="32"/>
          <w:shd w:val="clear" w:color="auto" w:fill="FFFFFF"/>
          <w:lang w:val="en-US" w:eastAsia="zh-CN" w:bidi="ar"/>
        </w:rPr>
        <w:t>每个项目最高</w:t>
      </w:r>
      <w:r>
        <w:rPr>
          <w:rFonts w:hint="eastAsia" w:ascii="仿宋_GB2312" w:eastAsia="仿宋_GB2312"/>
          <w:sz w:val="32"/>
          <w:szCs w:val="32"/>
        </w:rPr>
        <w:t>给予</w:t>
      </w:r>
      <w:r>
        <w:rPr>
          <w:rFonts w:hint="default" w:ascii="仿宋_GB2312" w:eastAsia="仿宋_GB2312"/>
          <w:sz w:val="32"/>
          <w:szCs w:val="32"/>
        </w:rPr>
        <w:t>150</w:t>
      </w:r>
      <w:r>
        <w:rPr>
          <w:rFonts w:hint="eastAsia" w:ascii="仿宋_GB2312" w:eastAsia="仿宋_GB2312"/>
          <w:sz w:val="32"/>
          <w:szCs w:val="32"/>
        </w:rPr>
        <w:t>万元奖励。已</w:t>
      </w:r>
      <w:r>
        <w:rPr>
          <w:rFonts w:hint="eastAsia" w:ascii="仿宋_GB2312" w:hAnsi="仿宋_GB2312" w:eastAsia="仿宋_GB2312" w:cs="仿宋_GB2312"/>
          <w:sz w:val="32"/>
          <w:szCs w:val="32"/>
          <w:shd w:val="clear" w:color="auto" w:fill="FFFFFF"/>
        </w:rPr>
        <w:t>获得过中央资金资助的海外仓项目不再重复</w:t>
      </w:r>
      <w:r>
        <w:rPr>
          <w:rFonts w:hint="default" w:ascii="仿宋_GB2312" w:hAnsi="仿宋_GB2312" w:eastAsia="仿宋_GB2312" w:cs="仿宋_GB2312"/>
          <w:sz w:val="32"/>
          <w:szCs w:val="32"/>
          <w:shd w:val="clear" w:color="auto" w:fill="FFFFFF"/>
        </w:rPr>
        <w:t>奖励</w:t>
      </w:r>
      <w:r>
        <w:rPr>
          <w:rFonts w:hint="eastAsia" w:ascii="仿宋_GB2312" w:hAnsi="仿宋_GB2312" w:eastAsia="仿宋_GB2312" w:cs="仿宋_GB2312"/>
          <w:sz w:val="32"/>
          <w:szCs w:val="32"/>
          <w:shd w:val="clear" w:color="auto" w:fill="FFFFFF"/>
        </w:rPr>
        <w:t>。</w:t>
      </w:r>
    </w:p>
    <w:p>
      <w:pPr>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六、申报材料</w:t>
      </w:r>
    </w:p>
    <w:p>
      <w:pPr>
        <w:widowControl/>
        <w:shd w:val="clear" w:color="auto" w:fill="FFFFFF"/>
        <w:spacing w:line="560" w:lineRule="exact"/>
        <w:ind w:firstLine="640" w:firstLineChars="200"/>
        <w:rPr>
          <w:rFonts w:ascii="楷体_GB2312" w:hAnsi="华文楷体" w:eastAsia="楷体_GB2312"/>
          <w:color w:val="000000"/>
          <w:sz w:val="32"/>
          <w:szCs w:val="32"/>
        </w:rPr>
      </w:pPr>
      <w:r>
        <w:rPr>
          <w:rFonts w:hint="eastAsia" w:ascii="楷体_GB2312" w:hAnsi="华文楷体" w:eastAsia="楷体_GB2312"/>
          <w:color w:val="000000"/>
          <w:sz w:val="32"/>
          <w:szCs w:val="32"/>
        </w:rPr>
        <w:t>（</w:t>
      </w:r>
      <w:r>
        <w:rPr>
          <w:rFonts w:ascii="楷体_GB2312" w:hAnsi="华文楷体" w:eastAsia="楷体_GB2312"/>
          <w:color w:val="000000"/>
          <w:sz w:val="32"/>
          <w:szCs w:val="32"/>
        </w:rPr>
        <w:t>一</w:t>
      </w:r>
      <w:r>
        <w:rPr>
          <w:rFonts w:hint="eastAsia" w:ascii="楷体_GB2312" w:hAnsi="华文楷体" w:eastAsia="楷体_GB2312"/>
          <w:color w:val="000000"/>
          <w:sz w:val="32"/>
          <w:szCs w:val="32"/>
        </w:rPr>
        <w:t>）基本材料</w:t>
      </w:r>
    </w:p>
    <w:p>
      <w:pPr>
        <w:widowControl/>
        <w:shd w:val="clear" w:color="auto" w:fill="FFFFFF"/>
        <w:wordWrap w:val="0"/>
        <w:spacing w:line="560" w:lineRule="exact"/>
        <w:ind w:firstLine="640" w:firstLineChars="200"/>
        <w:rPr>
          <w:rFonts w:hint="eastAsia" w:ascii="仿宋_GB2312" w:hAnsi="仿宋_GB2312" w:eastAsia="仿宋_GB2312" w:cs="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登录</w:t>
      </w:r>
      <w:r>
        <w:rPr>
          <w:rFonts w:hint="eastAsia" w:ascii="仿宋_GB2312" w:hAnsi="仿宋_GB2312" w:eastAsia="仿宋_GB2312" w:cs="仿宋_GB2312"/>
          <w:color w:val="000000"/>
          <w:sz w:val="32"/>
          <w:szCs w:val="32"/>
        </w:rPr>
        <w:t>广东政务服务网在线填报申请书（http://www.gdzwfw.gov.cn/—深圳市—市商务局—搜索</w:t>
      </w:r>
      <w:r>
        <w:rPr>
          <w:rFonts w:ascii="仿宋_GB2312" w:hAnsi="仿宋_GB2312" w:eastAsia="仿宋_GB2312" w:cs="仿宋_GB2312"/>
          <w:bCs/>
          <w:color w:val="000000"/>
          <w:sz w:val="32"/>
          <w:szCs w:val="32"/>
        </w:rPr>
        <w:t>跨境电子商务企业市场开拓扶持</w:t>
      </w:r>
      <w:r>
        <w:rPr>
          <w:rFonts w:hint="eastAsia" w:ascii="仿宋_GB2312" w:hAnsi="仿宋_GB2312" w:eastAsia="仿宋_GB2312" w:cs="仿宋_GB2312"/>
          <w:bCs/>
          <w:color w:val="000000"/>
          <w:kern w:val="0"/>
          <w:sz w:val="32"/>
          <w:szCs w:val="32"/>
        </w:rPr>
        <w:t>事项），</w:t>
      </w:r>
      <w:r>
        <w:rPr>
          <w:rFonts w:hint="eastAsia" w:ascii="仿宋_GB2312" w:hAnsi="仿宋_GB2312" w:eastAsia="仿宋_GB2312" w:cs="仿宋_GB2312"/>
          <w:color w:val="000000"/>
          <w:sz w:val="32"/>
          <w:szCs w:val="32"/>
        </w:rPr>
        <w:t>提供通过该系统打印的申请书纸质文件原件。</w:t>
      </w:r>
    </w:p>
    <w:p>
      <w:pPr>
        <w:widowControl/>
        <w:shd w:val="clear" w:color="auto" w:fill="FFFFFF"/>
        <w:spacing w:line="560" w:lineRule="exact"/>
        <w:ind w:firstLine="645"/>
        <w:rPr>
          <w:rFonts w:ascii="仿宋_GB2312" w:hAnsi="仿宋_GB2312" w:eastAsia="仿宋_GB2312" w:cs="仿宋_GB2312"/>
          <w:color w:val="000000"/>
          <w:sz w:val="32"/>
          <w:szCs w:val="32"/>
        </w:rPr>
      </w:pPr>
      <w:r>
        <w:rPr>
          <w:rFonts w:hint="eastAsia" w:ascii="仿宋_GB2312" w:eastAsia="仿宋_GB2312"/>
          <w:sz w:val="32"/>
          <w:szCs w:val="32"/>
        </w:rPr>
        <w:t>2.</w:t>
      </w:r>
      <w:r>
        <w:rPr>
          <w:rFonts w:hint="default" w:ascii="仿宋_GB2312" w:eastAsia="仿宋_GB2312"/>
          <w:sz w:val="32"/>
          <w:szCs w:val="32"/>
        </w:rPr>
        <w:t>统一社会信用代码证</w:t>
      </w:r>
      <w:r>
        <w:rPr>
          <w:rFonts w:ascii="仿宋_GB2312" w:eastAsia="仿宋_GB2312"/>
          <w:sz w:val="32"/>
          <w:szCs w:val="32"/>
        </w:rPr>
        <w:t>（</w:t>
      </w:r>
      <w:r>
        <w:rPr>
          <w:rFonts w:hint="eastAsia" w:ascii="仿宋_GB2312" w:eastAsia="仿宋_GB2312"/>
          <w:sz w:val="32"/>
          <w:szCs w:val="32"/>
        </w:rPr>
        <w:t>电子</w:t>
      </w:r>
      <w:r>
        <w:rPr>
          <w:rFonts w:hint="default" w:ascii="仿宋_GB2312" w:eastAsia="仿宋_GB2312"/>
          <w:sz w:val="32"/>
          <w:szCs w:val="32"/>
        </w:rPr>
        <w:t>证照</w:t>
      </w:r>
      <w:r>
        <w:rPr>
          <w:rFonts w:ascii="仿宋_GB2312" w:eastAsia="仿宋_GB2312"/>
          <w:sz w:val="32"/>
          <w:szCs w:val="32"/>
        </w:rPr>
        <w:t>）</w:t>
      </w:r>
      <w:r>
        <w:rPr>
          <w:rFonts w:hint="eastAsia" w:ascii="仿宋_GB2312" w:eastAsia="仿宋_GB2312"/>
          <w:sz w:val="32"/>
          <w:szCs w:val="32"/>
        </w:rPr>
        <w:t>。</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3.经会计师事务所审计的</w:t>
      </w:r>
      <w:r>
        <w:rPr>
          <w:rFonts w:hint="default" w:ascii="仿宋_GB2312" w:eastAsia="仿宋_GB2312"/>
          <w:sz w:val="32"/>
          <w:szCs w:val="32"/>
        </w:rPr>
        <w:t>2021</w:t>
      </w:r>
      <w:r>
        <w:rPr>
          <w:rFonts w:hint="eastAsia" w:ascii="仿宋_GB2312" w:eastAsia="仿宋_GB2312"/>
          <w:sz w:val="32"/>
          <w:szCs w:val="32"/>
        </w:rPr>
        <w:t>、</w:t>
      </w:r>
      <w:r>
        <w:rPr>
          <w:rFonts w:hint="default" w:ascii="仿宋_GB2312" w:eastAsia="仿宋_GB2312"/>
          <w:sz w:val="32"/>
          <w:szCs w:val="32"/>
        </w:rPr>
        <w:t>2022</w:t>
      </w:r>
      <w:r>
        <w:rPr>
          <w:rFonts w:hint="eastAsia" w:ascii="仿宋_GB2312" w:eastAsia="仿宋_GB2312"/>
          <w:sz w:val="32"/>
          <w:szCs w:val="32"/>
        </w:rPr>
        <w:t>年度财务审计报告复印件。</w:t>
      </w:r>
    </w:p>
    <w:p>
      <w:pPr>
        <w:widowControl/>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4.税务部门</w:t>
      </w:r>
      <w:r>
        <w:rPr>
          <w:rFonts w:hint="default" w:ascii="仿宋_GB2312" w:eastAsia="仿宋_GB2312"/>
          <w:sz w:val="32"/>
          <w:szCs w:val="32"/>
        </w:rPr>
        <w:t>出具</w:t>
      </w:r>
      <w:r>
        <w:rPr>
          <w:rFonts w:hint="eastAsia" w:ascii="仿宋_GB2312" w:eastAsia="仿宋_GB2312"/>
          <w:sz w:val="32"/>
          <w:szCs w:val="32"/>
        </w:rPr>
        <w:t>的项目单位上年度完税证明复印件。</w:t>
      </w:r>
    </w:p>
    <w:p>
      <w:pPr>
        <w:widowControl/>
        <w:shd w:val="clear" w:color="auto" w:fill="FFFFFF"/>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w:t>
      </w:r>
      <w:r>
        <w:rPr>
          <w:rFonts w:ascii="楷体_GB2312" w:eastAsia="楷体_GB2312"/>
          <w:color w:val="000000"/>
          <w:sz w:val="32"/>
          <w:szCs w:val="32"/>
        </w:rPr>
        <w:t>二</w:t>
      </w:r>
      <w:r>
        <w:rPr>
          <w:rFonts w:hint="eastAsia" w:ascii="楷体_GB2312" w:eastAsia="楷体_GB2312"/>
          <w:color w:val="000000"/>
          <w:sz w:val="32"/>
          <w:szCs w:val="32"/>
        </w:rPr>
        <w:t>）项目材料</w:t>
      </w:r>
    </w:p>
    <w:p>
      <w:pPr>
        <w:spacing w:line="560" w:lineRule="exact"/>
        <w:ind w:firstLine="630"/>
        <w:rPr>
          <w:rFonts w:hint="eastAsia" w:ascii="仿宋_GB2312" w:eastAsia="仿宋_GB2312"/>
          <w:b/>
          <w:bCs/>
          <w:sz w:val="32"/>
          <w:szCs w:val="32"/>
        </w:rPr>
      </w:pPr>
      <w:r>
        <w:rPr>
          <w:rFonts w:hint="eastAsia" w:ascii="仿宋_GB2312" w:eastAsia="仿宋_GB2312"/>
          <w:b/>
          <w:bCs/>
          <w:sz w:val="32"/>
          <w:szCs w:val="32"/>
        </w:rPr>
        <w:t>1.跨境电子商务独立站项目</w:t>
      </w:r>
    </w:p>
    <w:p>
      <w:pPr>
        <w:widowControl/>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（1）企业跨境电商业务总体</w:t>
      </w:r>
      <w:r>
        <w:rPr>
          <w:rFonts w:hint="eastAsia" w:ascii="仿宋_GB2312" w:hAnsi="仿宋_GB2312" w:eastAsia="仿宋_GB2312" w:cs="仿宋_GB2312"/>
          <w:sz w:val="32"/>
          <w:szCs w:val="32"/>
          <w:shd w:val="clear" w:color="auto" w:fill="FFFFFF"/>
        </w:rPr>
        <w:t>情况介绍</w:t>
      </w:r>
    </w:p>
    <w:p>
      <w:pPr>
        <w:widowControl/>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企业跨境电商整体发展情况（包括全球业务布局、员工数量、发展历程等总体发展情况及业务模式、发展成效、获得荣誉等）；各业务板块发展情况（包括第三方平台、独立站等业务开展情况以及</w:t>
      </w:r>
      <w:r>
        <w:rPr>
          <w:rFonts w:hint="default" w:ascii="仿宋_GB2312" w:eastAsia="仿宋_GB2312"/>
          <w:sz w:val="32"/>
          <w:szCs w:val="32"/>
        </w:rPr>
        <w:t>2022</w:t>
      </w:r>
      <w:r>
        <w:rPr>
          <w:rFonts w:hint="eastAsia" w:ascii="仿宋_GB2312" w:eastAsia="仿宋_GB2312"/>
          <w:sz w:val="32"/>
          <w:szCs w:val="32"/>
        </w:rPr>
        <w:t>年、202</w:t>
      </w:r>
      <w:r>
        <w:rPr>
          <w:rFonts w:hint="default" w:ascii="仿宋_GB2312" w:eastAsia="仿宋_GB2312"/>
          <w:sz w:val="32"/>
          <w:szCs w:val="32"/>
        </w:rPr>
        <w:t>3</w:t>
      </w:r>
      <w:r>
        <w:rPr>
          <w:rFonts w:hint="eastAsia" w:ascii="仿宋_GB2312" w:eastAsia="仿宋_GB2312"/>
          <w:sz w:val="32"/>
          <w:szCs w:val="32"/>
        </w:rPr>
        <w:t>年</w:t>
      </w:r>
      <w:r>
        <w:rPr>
          <w:rFonts w:hint="default" w:ascii="仿宋_GB2312" w:eastAsia="仿宋_GB2312"/>
          <w:sz w:val="32"/>
          <w:szCs w:val="32"/>
        </w:rPr>
        <w:t>1-5月</w:t>
      </w:r>
      <w:r>
        <w:rPr>
          <w:rFonts w:hint="eastAsia" w:ascii="仿宋_GB2312" w:eastAsia="仿宋_GB2312"/>
          <w:sz w:val="32"/>
          <w:szCs w:val="32"/>
        </w:rPr>
        <w:t>各业务板块销售额数据及同比情况等）；企业品牌化发展情况（企业自有品牌清单、品牌影响力介绍、各品牌销售业绩、品牌化建设投入等）；企业数字化应用情况（信息化系统建设情况及建设投入等）；企业发展规划（</w:t>
      </w:r>
      <w:r>
        <w:rPr>
          <w:rFonts w:hint="eastAsia" w:ascii="仿宋_GB2312" w:hAnsi="仿宋_GB2312" w:eastAsia="仿宋_GB2312" w:cs="仿宋_GB2312"/>
          <w:sz w:val="32"/>
          <w:szCs w:val="32"/>
          <w:shd w:val="clear" w:color="auto" w:fill="FFFFFF"/>
        </w:rPr>
        <w:t>包括未来2年发展目标、具体举措、效益预期等</w:t>
      </w:r>
      <w:r>
        <w:rPr>
          <w:rFonts w:hint="eastAsia" w:ascii="仿宋_GB2312" w:eastAsia="仿宋_GB2312"/>
          <w:sz w:val="32"/>
          <w:szCs w:val="32"/>
        </w:rPr>
        <w:t>）。</w:t>
      </w:r>
    </w:p>
    <w:p>
      <w:pPr>
        <w:widowControl/>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eastAsia="仿宋_GB2312"/>
          <w:sz w:val="32"/>
          <w:szCs w:val="32"/>
        </w:rPr>
        <w:t>（2）独立站项目</w:t>
      </w:r>
      <w:r>
        <w:rPr>
          <w:rFonts w:hint="eastAsia" w:ascii="仿宋_GB2312" w:hAnsi="仿宋_GB2312" w:eastAsia="仿宋_GB2312" w:cs="仿宋_GB2312"/>
          <w:sz w:val="32"/>
          <w:szCs w:val="32"/>
          <w:shd w:val="clear" w:color="auto" w:fill="FFFFFF"/>
        </w:rPr>
        <w:t>情况介绍</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独立站建设情况（包括投资规模、建设方式、使用的第三方服务、业务发展情况）；独立站运营情况（包括独立站运营相关员工数量、经营年限、运营模式，</w:t>
      </w:r>
      <w:r>
        <w:rPr>
          <w:rFonts w:hint="default" w:ascii="仿宋_GB2312" w:hAnsi="仿宋_GB2312" w:eastAsia="仿宋_GB2312" w:cs="仿宋_GB2312"/>
          <w:sz w:val="32"/>
          <w:szCs w:val="32"/>
          <w:shd w:val="clear" w:color="auto" w:fill="FFFFFF"/>
        </w:rPr>
        <w:t>2022</w:t>
      </w:r>
      <w:r>
        <w:rPr>
          <w:rFonts w:hint="eastAsia" w:ascii="仿宋_GB2312" w:hAnsi="仿宋_GB2312" w:eastAsia="仿宋_GB2312" w:cs="仿宋_GB2312"/>
          <w:sz w:val="32"/>
          <w:szCs w:val="32"/>
          <w:shd w:val="clear" w:color="auto" w:fill="FFFFFF"/>
        </w:rPr>
        <w:t>年、</w:t>
      </w:r>
      <w:r>
        <w:rPr>
          <w:rFonts w:hint="eastAsia" w:ascii="仿宋_GB2312" w:eastAsia="仿宋_GB2312"/>
          <w:sz w:val="32"/>
          <w:szCs w:val="32"/>
        </w:rPr>
        <w:t>202</w:t>
      </w:r>
      <w:r>
        <w:rPr>
          <w:rFonts w:hint="default" w:ascii="仿宋_GB2312" w:eastAsia="仿宋_GB2312"/>
          <w:sz w:val="32"/>
          <w:szCs w:val="32"/>
        </w:rPr>
        <w:t>3</w:t>
      </w:r>
      <w:r>
        <w:rPr>
          <w:rFonts w:hint="eastAsia" w:ascii="仿宋_GB2312" w:eastAsia="仿宋_GB2312"/>
          <w:sz w:val="32"/>
          <w:szCs w:val="32"/>
        </w:rPr>
        <w:t>年</w:t>
      </w:r>
      <w:r>
        <w:rPr>
          <w:rFonts w:hint="default" w:ascii="仿宋_GB2312" w:eastAsia="仿宋_GB2312"/>
          <w:sz w:val="32"/>
          <w:szCs w:val="32"/>
        </w:rPr>
        <w:t>1-5月</w:t>
      </w:r>
      <w:r>
        <w:rPr>
          <w:rFonts w:hint="eastAsia" w:ascii="仿宋_GB2312" w:hAnsi="仿宋_GB2312" w:eastAsia="仿宋_GB2312" w:cs="仿宋_GB2312"/>
          <w:sz w:val="32"/>
          <w:szCs w:val="32"/>
          <w:shd w:val="clear" w:color="auto" w:fill="FFFFFF"/>
        </w:rPr>
        <w:t>销售额及效益情况等）；开拓市场情况（包括独立站面向的销售国家或地区、销售产品品牌建设及独立站对品牌发展的带动提升作用等）；发展规划（包括未来2年发展目标、具体举措、效益预期等）。</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（3）相关证明材料</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申报独立站所有权证明材料：域名购买合同及相关付款财务凭证或其他合理证明材料（如GoDaddy等域名注册商账户相关信息截图），若独立站域名所有人非申报企业，需提供申报企业与域名所有人股权关系证明材料，独立站所有人为境外投资主体，需提供企业境外投资证书（申报独立站海外投资主体对应证书）；</w:t>
      </w:r>
    </w:p>
    <w:p>
      <w:pPr>
        <w:pStyle w:val="3"/>
        <w:widowControl/>
        <w:shd w:val="clear" w:color="auto" w:fill="FFFFFF"/>
        <w:wordWrap w:val="0"/>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B.申报独立站投入实际运营两年以上（202</w:t>
      </w:r>
      <w:r>
        <w:rPr>
          <w:rFonts w:hint="default"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年1月1日前投入运营）证明材料（如Google Analytics中申报网站近两年流量分析截图等）；</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C.申报独立站建设运营过程中（202</w:t>
      </w:r>
      <w:r>
        <w:rPr>
          <w:rFonts w:hint="default"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年1月1日至今）购买的第三方服务合同及付款财务凭证（如专业建站工具、广告、支付、物流等第三方服务）；</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D.申报独立站近一年（202</w:t>
      </w:r>
      <w:r>
        <w:rPr>
          <w:rFonts w:hint="default"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月-202</w:t>
      </w:r>
      <w:r>
        <w:rPr>
          <w:rFonts w:hint="default"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月）每月销售额统计表及相关证明材料（若使用专业建站工具建站请提供第三方建站工具系统后台网站销售额统计数据截图；若自行建站请提供Google Analytics或第三方支付机构系统对网站销售额统计数据截图）；</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E.申报独立站202</w:t>
      </w:r>
      <w:r>
        <w:rPr>
          <w:rFonts w:hint="default"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年11月订单信息列表（包括日期、订单号、物流单号、产品名称、成交金额、支付信息、妥投信息等）；</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F.申报独立站近一年（202</w:t>
      </w:r>
      <w:r>
        <w:rPr>
          <w:rFonts w:hint="default"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月-202</w:t>
      </w:r>
      <w:r>
        <w:rPr>
          <w:rFonts w:hint="default"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月）流量构成（广告引入流量、自然流量）情况统计（每月情况、全年汇总情况），按年、月流量转化情况统计（包括网站访客数、实际发生购买行为访客数、转化率等），流量构成和转化率相关证明材料（Google Analytics相关情况对应截图）；</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G.申报独立站202</w:t>
      </w:r>
      <w:r>
        <w:rPr>
          <w:rFonts w:hint="default"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年全年运营成本情况分析（包含产品成本、物流成本、营销成本、网站建设维护成本及占比情况）；</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H.申报独立站近一年（202</w:t>
      </w:r>
      <w:r>
        <w:rPr>
          <w:rFonts w:hint="default"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月-202</w:t>
      </w:r>
      <w:r>
        <w:rPr>
          <w:rFonts w:hint="default"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default"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月）自有品牌产品每月销售额统计表及相关证明材料（若使用专业建站工具建站请提供第三方建站工具系统后台自有品牌产品销售额统计数据截图；若自行建站请提供Google Analytics或第三方支付机构系统对该网站自有品牌产品销售额统计数据截图）、自有品牌注册资料、品牌影响力介绍及品牌建设投入情况（含商标注册、产品研发设计、品牌推广等投入情况），销售其他品牌产品请提供销售授权资料；</w:t>
      </w:r>
    </w:p>
    <w:p>
      <w:pPr>
        <w:widowControl/>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I.企业认为有必要提供的其他补充材料。</w:t>
      </w:r>
    </w:p>
    <w:p>
      <w:pPr>
        <w:widowControl/>
        <w:shd w:val="clear" w:color="auto" w:fill="FFFFFF"/>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2.跨境电子商务公共海外仓项目</w:t>
      </w:r>
    </w:p>
    <w:p>
      <w:pPr>
        <w:widowControl/>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（1）企业海外仓业务总体情况介绍</w:t>
      </w:r>
    </w:p>
    <w:p>
      <w:pPr>
        <w:widowControl/>
        <w:shd w:val="clear" w:color="auto" w:fill="FFFFFF"/>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自建海外仓情况（包括投资规模、建设方式、自建海外仓清单及面积情况、仓储管理信息化系统和线上信息平台建设情况等）；海外仓运营情况（包括员工数量、经营年限、运营模式，近两年营业额及效益、服务企业清单、服务跨境电商企业总体货值规模、仓库使用率、库存率、周转率情况等）；服务功能和成效情况（包括配套综合服务、配送覆盖国家和地区、头程物流与尾程派送建设情况、与电商平台合作情况、为企业提供的专业服务情况、对企业出口带动和品牌提升情况等，要有服务功能的详细介绍和服务企业的详细数据支撑，在企业出口带动和品牌提升上要有典型的服务案例）；</w:t>
      </w:r>
      <w:r>
        <w:rPr>
          <w:rFonts w:hint="eastAsia" w:ascii="仿宋_GB2312" w:eastAsia="仿宋_GB2312"/>
          <w:sz w:val="32"/>
          <w:szCs w:val="32"/>
        </w:rPr>
        <w:t>企业发展规划（</w:t>
      </w:r>
      <w:r>
        <w:rPr>
          <w:rFonts w:hint="eastAsia" w:ascii="仿宋_GB2312" w:hAnsi="仿宋_GB2312" w:eastAsia="仿宋_GB2312" w:cs="仿宋_GB2312"/>
          <w:sz w:val="32"/>
          <w:szCs w:val="32"/>
          <w:shd w:val="clear" w:color="auto" w:fill="FFFFFF"/>
        </w:rPr>
        <w:t>包括未来2年发展目标、具体举措、效益预期等</w:t>
      </w:r>
      <w:r>
        <w:rPr>
          <w:rFonts w:hint="eastAsia" w:ascii="仿宋_GB2312" w:eastAsia="仿宋_GB2312"/>
          <w:sz w:val="32"/>
          <w:szCs w:val="32"/>
        </w:rPr>
        <w:t>）。</w:t>
      </w:r>
    </w:p>
    <w:p>
      <w:pPr>
        <w:pStyle w:val="3"/>
        <w:widowControl/>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（2）公共海外仓项目情况介绍</w:t>
      </w:r>
    </w:p>
    <w:p>
      <w:pPr>
        <w:pStyle w:val="3"/>
        <w:widowControl/>
        <w:shd w:val="clear" w:color="auto" w:fill="FFFFFF"/>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shd w:val="clear" w:color="auto" w:fill="FFFFFF"/>
        </w:rPr>
        <w:t>海外仓建设情况（包括投资规模、建设方式、仓储设施配置情况、信息化建设情况、自动化智能化建设情况等）；海外仓运营情况（包括运营面积、员工数量、经营年限、运营模式，近两年营业额及效益、服务企业的类型和数量、服务跨境电商企业总体货值规模、仓库使用率、库存率、周转率情况等）；海外仓服务功能和成效情况（包括配套综合服务、配送覆盖国家和地区、为企业提供的专业服务情况、对企业出口带动和品牌提升情况等，要有服务功能的详细介绍和服务企业的详细数据支撑，在企业出口带动和品牌提升上要有典型的服务案例）；海外仓发展规划（包括未来2年发展目标、具体举措、效益预期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材料均需加盖申报单位公章，多页的还需加盖骑缝公章；涉及外文的，需提供中文翻译件；系统截图请将系统语言切换至中文后截图；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规定申请书</w:t>
      </w:r>
      <w:r>
        <w:rPr>
          <w:rFonts w:hint="default" w:ascii="仿宋_GB2312" w:hAnsi="宋体" w:eastAsia="仿宋_GB2312" w:cs="宋体"/>
          <w:kern w:val="0"/>
          <w:sz w:val="32"/>
          <w:szCs w:val="32"/>
        </w:rPr>
        <w:t>和表格，登录广东政务服务网（网址：</w:t>
      </w:r>
      <w:r>
        <w:rPr>
          <w:rFonts w:hint="eastAsia" w:ascii="仿宋_GB2312" w:hAnsi="仿宋_GB2312" w:eastAsia="仿宋_GB2312" w:cs="仿宋_GB2312"/>
          <w:color w:val="000000"/>
          <w:sz w:val="32"/>
          <w:szCs w:val="32"/>
        </w:rPr>
        <w:t>http://www.gdzwfw.gov.cn</w:t>
      </w:r>
      <w:r>
        <w:rPr>
          <w:rFonts w:hint="default" w:ascii="仿宋_GB2312" w:hAnsi="宋体" w:eastAsia="仿宋_GB2312" w:cs="宋体"/>
          <w:kern w:val="0"/>
          <w:sz w:val="32"/>
          <w:szCs w:val="32"/>
        </w:rPr>
        <w:t>）在线填报</w:t>
      </w:r>
      <w:r>
        <w:rPr>
          <w:rFonts w:hint="eastAsia" w:ascii="仿宋_GB2312" w:hAnsi="宋体" w:eastAsia="仿宋_GB2312" w:cs="宋体"/>
          <w:kern w:val="0"/>
          <w:sz w:val="32"/>
          <w:szCs w:val="32"/>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1.网络填报时间：</w:t>
      </w:r>
      <w:r>
        <w:rPr>
          <w:rFonts w:hint="eastAsia" w:ascii="仿宋_GB2312" w:hAnsi="宋体" w:eastAsia="仿宋_GB2312" w:cs="宋体"/>
          <w:kern w:val="0"/>
          <w:sz w:val="32"/>
          <w:szCs w:val="32"/>
        </w:rPr>
        <w:t>202</w:t>
      </w:r>
      <w:r>
        <w:rPr>
          <w:rFonts w:hint="default" w:ascii="仿宋_GB2312" w:hAnsi="宋体" w:eastAsia="仿宋_GB2312" w:cs="宋体"/>
          <w:kern w:val="0"/>
          <w:sz w:val="32"/>
          <w:szCs w:val="32"/>
        </w:rPr>
        <w:t>3</w:t>
      </w:r>
      <w:r>
        <w:rPr>
          <w:rFonts w:hint="eastAsia" w:ascii="仿宋_GB2312" w:hAnsi="宋体" w:eastAsia="仿宋_GB2312" w:cs="宋体"/>
          <w:kern w:val="0"/>
          <w:sz w:val="32"/>
          <w:szCs w:val="32"/>
        </w:rPr>
        <w:t>年</w:t>
      </w:r>
      <w:r>
        <w:rPr>
          <w:rFonts w:hint="default" w:ascii="仿宋_GB2312" w:hAnsi="宋体" w:eastAsia="仿宋_GB2312" w:cs="宋体"/>
          <w:kern w:val="0"/>
          <w:sz w:val="32"/>
          <w:szCs w:val="32"/>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日-202</w:t>
      </w:r>
      <w:r>
        <w:rPr>
          <w:rFonts w:hint="default" w:ascii="仿宋_GB2312" w:hAnsi="宋体" w:eastAsia="仿宋_GB2312" w:cs="宋体"/>
          <w:kern w:val="0"/>
          <w:sz w:val="32"/>
          <w:szCs w:val="32"/>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18:00。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2.材料提交时间：202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6</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日17:45。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西厅综合窗口。（预约指南：“i深圳”APP或关注“</w:t>
      </w:r>
      <w:r>
        <w:rPr>
          <w:rFonts w:hint="default" w:ascii="仿宋_GB2312" w:hAnsi="仿宋_GB2312" w:eastAsia="仿宋_GB2312" w:cs="仿宋_GB2312"/>
          <w:sz w:val="32"/>
          <w:szCs w:val="32"/>
        </w:rPr>
        <w:t>深圳市政府服务中心</w:t>
      </w:r>
      <w:r>
        <w:rPr>
          <w:rFonts w:hint="eastAsia" w:ascii="仿宋_GB2312" w:hAnsi="仿宋_GB2312" w:eastAsia="仿宋_GB2312" w:cs="仿宋_GB2312"/>
          <w:sz w:val="32"/>
          <w:szCs w:val="32"/>
        </w:rPr>
        <w:t>”微信公众号。操作流程：【办事预约】或【预约取号】—【深圳市</w:t>
      </w:r>
      <w:r>
        <w:rPr>
          <w:rFonts w:hint="default" w:ascii="仿宋_GB2312" w:hAnsi="仿宋_GB2312" w:eastAsia="仿宋_GB2312" w:cs="仿宋_GB2312"/>
          <w:sz w:val="32"/>
          <w:szCs w:val="32"/>
        </w:rPr>
        <w:t>政务服务中心</w:t>
      </w:r>
      <w:r>
        <w:rPr>
          <w:rFonts w:hint="eastAsia" w:ascii="仿宋_GB2312" w:hAnsi="仿宋_GB2312" w:eastAsia="仿宋_GB2312" w:cs="仿宋_GB2312"/>
          <w:sz w:val="32"/>
          <w:szCs w:val="32"/>
        </w:rPr>
        <w:t>西厅】。）</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项目申报咨询电话：0755-889168</w:t>
      </w:r>
      <w:r>
        <w:rPr>
          <w:rFonts w:hint="default" w:ascii="仿宋_GB2312" w:hAnsi="仿宋_GB2312" w:eastAsia="仿宋_GB2312" w:cs="仿宋_GB2312"/>
          <w:sz w:val="32"/>
          <w:szCs w:val="32"/>
          <w:lang w:val="en-US"/>
        </w:rPr>
        <w:t>93</w:t>
      </w:r>
      <w:r>
        <w:rPr>
          <w:rFonts w:hint="eastAsia" w:ascii="仿宋_GB2312" w:hAnsi="仿宋_GB2312" w:eastAsia="仿宋_GB2312" w:cs="仿宋_GB2312"/>
          <w:sz w:val="32"/>
          <w:szCs w:val="32"/>
        </w:rPr>
        <w:t>、88916</w:t>
      </w:r>
      <w:r>
        <w:rPr>
          <w:rFonts w:hint="default" w:ascii="仿宋_GB2312" w:hAnsi="仿宋_GB2312" w:eastAsia="仿宋_GB2312" w:cs="仿宋_GB2312"/>
          <w:sz w:val="32"/>
          <w:szCs w:val="32"/>
          <w:lang w:val="en-US"/>
        </w:rPr>
        <w:t>958</w:t>
      </w:r>
      <w:r>
        <w:rPr>
          <w:rFonts w:hint="eastAsia" w:ascii="仿宋_GB2312" w:hAnsi="仿宋_GB2312" w:eastAsia="仿宋_GB2312" w:cs="仿宋_GB2312"/>
          <w:sz w:val="32"/>
          <w:szCs w:val="32"/>
        </w:rPr>
        <w:t>、88916850（工作日上午9:00-12:00，下午2:00-6:00）</w:t>
      </w:r>
      <w:r>
        <w:rPr>
          <w:rFonts w:hint="eastAsia" w:ascii="仿宋_GB2312" w:hAnsi="仿宋_GB2312" w:eastAsia="仿宋_GB2312" w:cs="仿宋_GB2312"/>
          <w:bCs/>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r>
        <w:rPr>
          <w:rFonts w:hint="eastAsia" w:ascii="黑体" w:hAnsi="黑体" w:eastAsia="黑体"/>
          <w:sz w:val="32"/>
          <w:szCs w:val="32"/>
        </w:rPr>
        <w:tab/>
      </w:r>
    </w:p>
    <w:p>
      <w:pPr>
        <w:spacing w:line="560" w:lineRule="exact"/>
        <w:ind w:firstLine="640" w:firstLineChars="200"/>
        <w:outlineLvl w:val="0"/>
        <w:rPr>
          <w:rFonts w:hint="eastAsia"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市商务局发布申报指南——申报单位网上申报——市商务局网上初审——申报单位提交申请材料——市商务局开展形式审查——专项审计</w:t>
      </w:r>
      <w:r>
        <w:rPr>
          <w:rFonts w:hint="eastAsia" w:ascii="仿宋_GB2312" w:eastAsia="仿宋_GB2312"/>
          <w:sz w:val="32"/>
          <w:szCs w:val="32"/>
        </w:rPr>
        <w:t>（跨境电子商务公共海外仓奖励项目除外）</w:t>
      </w:r>
      <w:r>
        <w:rPr>
          <w:rFonts w:hint="eastAsia" w:ascii="仿宋_GB2312" w:hAnsi="仿宋_GB2312" w:eastAsia="仿宋_GB2312"/>
          <w:sz w:val="32"/>
          <w:szCs w:val="32"/>
          <w:lang w:bidi="ar"/>
        </w:rPr>
        <w:t>——资质审查（根据需要核查比对：资质情况、统计数据，是否存在重复资助情形、有否被列入失信惩戒名单、有无重大违法违规行为、有无拖欠应缴还的财政性资金等情况）——拟定</w:t>
      </w:r>
      <w:r>
        <w:rPr>
          <w:rFonts w:hint="default" w:ascii="仿宋_GB2312" w:hAnsi="仿宋_GB2312" w:eastAsia="仿宋_GB2312"/>
          <w:sz w:val="32"/>
          <w:szCs w:val="32"/>
          <w:lang w:bidi="ar"/>
        </w:rPr>
        <w:t>奖励</w:t>
      </w:r>
      <w:r>
        <w:rPr>
          <w:rFonts w:hint="eastAsia" w:ascii="仿宋_GB2312" w:hAnsi="仿宋_GB2312" w:eastAsia="仿宋_GB2312"/>
          <w:sz w:val="32"/>
          <w:szCs w:val="32"/>
          <w:lang w:bidi="ar"/>
        </w:rPr>
        <w:t>计划——社会公示——通知申报单位提交拨付资料——拨付资金。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材料提交时间</w:t>
      </w:r>
      <w:r>
        <w:rPr>
          <w:rFonts w:ascii="仿宋_GB2312" w:hAnsi="仿宋_GB2312" w:eastAsia="仿宋_GB2312" w:cs="仿宋_GB2312"/>
          <w:sz w:val="32"/>
          <w:szCs w:val="32"/>
        </w:rPr>
        <w:t>截止日起</w:t>
      </w:r>
      <w:r>
        <w:rPr>
          <w:rFonts w:hint="eastAsia" w:ascii="仿宋_GB2312" w:hAnsi="仿宋_GB2312" w:eastAsia="仿宋_GB2312" w:cs="仿宋_GB2312"/>
          <w:bCs/>
          <w:sz w:val="32"/>
          <w:szCs w:val="32"/>
        </w:rPr>
        <w:t>85</w:t>
      </w:r>
      <w:r>
        <w:rPr>
          <w:rFonts w:ascii="仿宋_GB2312" w:eastAsia="仿宋_GB2312"/>
          <w:sz w:val="32"/>
          <w:szCs w:val="32"/>
        </w:rPr>
        <w:t>个工作日</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hint="eastAsia"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7D1E"/>
    <w:rsid w:val="33916608"/>
    <w:rsid w:val="7BBF7D1E"/>
    <w:rsid w:val="7F69F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2023-06-05T14:32:00Z</dcterms:created>
  <dc:creator>网站运维(陈梓标)</dc:creator>
  <cp:lastModifiedBy>95801</cp:lastModifiedBy>
  <dcterms:modified xsi:type="dcterms:W3CDTF">2023-06-05T14:06:01Z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