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uppressAutoHyphens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pageBreakBefore w:val="0"/>
        <w:suppressAutoHyphens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《深圳市自然科学基金专项管理办法</w:t>
      </w:r>
    </w:p>
    <w:p>
      <w:pPr>
        <w:pageBreakBefore w:val="0"/>
        <w:suppressAutoHyphens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（征求意见稿）</w:t>
      </w:r>
      <w:r>
        <w:rPr>
          <w:rFonts w:hint="eastAsia" w:ascii="方正小标宋简体" w:eastAsia="方正小标宋简体"/>
          <w:color w:val="auto"/>
          <w:sz w:val="44"/>
          <w:szCs w:val="44"/>
        </w:rPr>
        <w:t>》</w:t>
      </w:r>
    </w:p>
    <w:p>
      <w:pPr>
        <w:pageBreakBefore w:val="0"/>
        <w:suppressAutoHyphens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编制说明</w:t>
      </w:r>
    </w:p>
    <w:p>
      <w:pPr>
        <w:pStyle w:val="7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CESI仿宋-GB2312" w:hAnsi="CESI仿宋-GB2312" w:eastAsia="CESI仿宋-GB2312" w:cs="CESI仿宋-GB2312"/>
          <w:color w:val="auto"/>
          <w:lang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color w:val="auto"/>
          <w:sz w:val="32"/>
          <w:szCs w:val="44"/>
        </w:rPr>
      </w:pPr>
      <w:r>
        <w:rPr>
          <w:rFonts w:hint="eastAsia"/>
          <w:color w:val="auto"/>
          <w:sz w:val="32"/>
          <w:szCs w:val="44"/>
        </w:rPr>
        <w:t>一、</w:t>
      </w:r>
      <w:r>
        <w:rPr>
          <w:rFonts w:hint="eastAsia"/>
          <w:color w:val="auto"/>
          <w:sz w:val="32"/>
          <w:szCs w:val="44"/>
          <w:lang w:eastAsia="zh-CN"/>
        </w:rPr>
        <w:t>编制</w:t>
      </w:r>
      <w:r>
        <w:rPr>
          <w:rFonts w:hint="eastAsia"/>
          <w:color w:val="auto"/>
          <w:sz w:val="32"/>
          <w:szCs w:val="44"/>
        </w:rPr>
        <w:t>背景</w:t>
      </w:r>
    </w:p>
    <w:p>
      <w:pPr>
        <w:keepNext w:val="0"/>
        <w:keepLines w:val="0"/>
        <w:pageBreakBefore w:val="0"/>
        <w:widowControl w:val="0"/>
        <w:tabs>
          <w:tab w:val="left" w:pos="1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为规范和加强深圳市基础研究项目（以下简称基础研究项目）管理，完善与基础研究、应用基础研究特点相适应的经费保障、成果评价和人才激励机制，营造科学研究宽松环境，市科技创新委20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年出台了《深圳市基础研究项目管理办法》（深科技创新规〔2020〕6号）。该办法于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2023年6月3日到期。</w:t>
      </w:r>
    </w:p>
    <w:p>
      <w:pPr>
        <w:keepNext w:val="0"/>
        <w:keepLines w:val="0"/>
        <w:pageBreakBefore w:val="0"/>
        <w:widowControl w:val="0"/>
        <w:tabs>
          <w:tab w:val="left" w:pos="11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中共中央政治局就加强基础研究进行第三次集体学习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习近平总书记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加强基础研究是实现高水平科技自立自强的迫切要求，是建设世界科技强国的必由之路。应对国际科技竞争、实现高水平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自立自强，推动构建新发展格局、实现高质量发展，迫切需要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加强基础研究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，从源头和底层解决关键技术问题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。要强化基础研究前瞻性、战略性、系统性布局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深化基础研究体制机制改革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，建设基础研究高水平支持平台，加强基础研究人才队伍建设，广泛开展基础研究国际合作，塑造有利于基础研究的创新生态。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</w:rPr>
        <w:t>为贯彻落实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eastAsia="zh-CN"/>
        </w:rPr>
        <w:t>中共中央关于基础研究的精神，不断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基础研究体制机制改革，发挥好制度、政策的价值驱动和战略牵引作用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</w:rPr>
        <w:t>结合现阶段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eastAsia="zh-CN"/>
        </w:rPr>
        <w:t>我市基础研究</w:t>
      </w: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</w:rPr>
        <w:t>实际情况，</w:t>
      </w: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《深圳市基础研究项目管理办法》</w:t>
      </w: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的基础上，根据国家、省、市相关文件规定，通过调研并参照各地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eastAsia="zh-CN"/>
        </w:rPr>
        <w:t>基础研究</w:t>
      </w: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先进经验，对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val="en-US" w:eastAsia="zh-CN"/>
        </w:rPr>
        <w:t>基础研究</w:t>
      </w: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的项目申请、项目实施与验收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val="en-US" w:eastAsia="zh-CN"/>
        </w:rPr>
        <w:t>、监督管理</w:t>
      </w: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等进行深入研究，形成《深圳市自然科学基金专项管理办法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val="en-US" w:eastAsia="zh-CN"/>
        </w:rPr>
        <w:t>（征求意见稿）</w:t>
      </w: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》（以下简称《管理办法》）。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二、编制依据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Arial Unicode MS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eastAsia="zh-CN"/>
        </w:rPr>
        <w:t>根据《深圳经济特区科技创新条例》《深圳市基础研究“深研”规划（2022—2030年）》《深圳市关于加强基础科学研究的实施办法》《深圳市科技计划项目管理办法》和《深圳市科技研发资金管理办法》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有关规定</w:t>
      </w: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三、编制原则和目标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自然科学基金专项坚持“四个面向”，坚持目标导向和自由探索“两条腿走路”的发展方针，围绕我市“20+8”重点产业集群和未来产业，聚焦数理科学与交叉前沿、新材料与化学、合成生物学、地球与海洋科学、新一代信息与计算技术、生物医药与生命健康、碳中和与环境生态、高端先进制造基础技术、生物育种与现代农业、城市治理与公共安全、量子科学与工程和脑科学与类脑研究等12个重点领域，强化基础研究的前瞻性、战略性、系统性布局，推动新时代基础研究高质量发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四、《管理办法》亮点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（一）《管理办法》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val="en-US" w:eastAsia="zh-CN"/>
        </w:rPr>
        <w:t>坚持</w:t>
      </w: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“四个面向”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“两条腿走路”，围绕我市“20+8”重点产业集群和未来产业，聚焦12个重点领域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val="en-US" w:eastAsia="zh-CN"/>
        </w:rPr>
        <w:t>布局我市基础研究。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Cs w:val="32"/>
          <w:highlight w:val="none"/>
          <w:lang w:eastAsia="zh-CN"/>
        </w:rPr>
      </w:pP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val="en-US" w:eastAsia="zh-CN"/>
        </w:rPr>
        <w:t>（二）完善专项项目类型，在原</w:t>
      </w:r>
      <w:r>
        <w:rPr>
          <w:rFonts w:hint="eastAsia" w:ascii="仿宋_GB2312" w:eastAsia="仿宋_GB2312"/>
          <w:color w:val="auto"/>
          <w:szCs w:val="32"/>
          <w:highlight w:val="none"/>
        </w:rPr>
        <w:t>面上项目</w:t>
      </w:r>
      <w:r>
        <w:rPr>
          <w:rFonts w:hint="eastAsia" w:ascii="仿宋_GB2312" w:eastAsia="仿宋_GB2312"/>
          <w:color w:val="auto"/>
          <w:szCs w:val="32"/>
          <w:highlight w:val="none"/>
          <w:lang w:eastAsia="zh-CN"/>
        </w:rPr>
        <w:t>和</w:t>
      </w:r>
      <w:r>
        <w:rPr>
          <w:rFonts w:hint="eastAsia" w:ascii="仿宋_GB2312" w:eastAsia="仿宋_GB2312"/>
          <w:color w:val="auto"/>
          <w:szCs w:val="32"/>
          <w:highlight w:val="none"/>
        </w:rPr>
        <w:t>重点项目</w:t>
      </w:r>
      <w:r>
        <w:rPr>
          <w:rFonts w:hint="eastAsia" w:ascii="仿宋_GB2312" w:eastAsia="仿宋_GB2312"/>
          <w:color w:val="auto"/>
          <w:szCs w:val="32"/>
          <w:highlight w:val="none"/>
          <w:lang w:eastAsia="zh-CN"/>
        </w:rPr>
        <w:t>的基础上增设</w:t>
      </w:r>
      <w:r>
        <w:rPr>
          <w:rFonts w:hint="eastAsia" w:ascii="仿宋_GB2312" w:eastAsia="仿宋_GB2312"/>
          <w:color w:val="auto"/>
          <w:szCs w:val="32"/>
          <w:highlight w:val="none"/>
        </w:rPr>
        <w:t>重大项目和创新生态项目</w:t>
      </w:r>
      <w:r>
        <w:rPr>
          <w:rFonts w:hint="eastAsia" w:ascii="仿宋_GB2312" w:eastAsia="仿宋_GB2312"/>
          <w:color w:val="auto"/>
          <w:szCs w:val="32"/>
          <w:highlight w:val="none"/>
          <w:lang w:eastAsia="zh-CN"/>
        </w:rPr>
        <w:t>，支持科学技术团队开展需及时资助的创新研究、自然科学基金发展相关活动、科技伦理理论探索、期刊建设、智库建设、科技数据采集分析等。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val="en-US" w:eastAsia="zh-CN"/>
        </w:rPr>
        <w:t>丰富支持方式，可通过公开竞争、稳定支持和主动布局方式组织实施基础研究项目。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eastAsia="zh-CN"/>
        </w:rPr>
        <w:t>按照科技部要求，明</w:t>
      </w:r>
      <w:r>
        <w:rPr>
          <w:rFonts w:hint="eastAsia" w:ascii="仿宋_GB2312" w:eastAsia="仿宋_GB2312" w:cs="Times New Roman"/>
          <w:color w:val="auto"/>
          <w:szCs w:val="32"/>
          <w:highlight w:val="none"/>
          <w:lang w:eastAsia="zh-CN"/>
        </w:rPr>
        <w:t>确</w:t>
      </w:r>
      <w:r>
        <w:rPr>
          <w:rFonts w:hint="eastAsia" w:ascii="仿宋_GB2312" w:eastAsia="仿宋_GB2312" w:cs="Times New Roman"/>
          <w:color w:val="auto"/>
          <w:szCs w:val="32"/>
          <w:highlight w:val="none"/>
        </w:rPr>
        <w:t>市科技行政主管部门研究认为拟资助的项目符合相关不公示情形的，可以不予公示。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科技伦理监管事宜</w:t>
      </w:r>
      <w:r>
        <w:rPr>
          <w:rFonts w:hint="eastAsia" w:ascii="仿宋_GB2312" w:hAnsi="Calibri" w:eastAsia="仿宋_GB2312" w:cs="Arial Unicode MS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）项目经费使用与管理、过程管理、诚信管理、验收等</w:t>
      </w:r>
      <w:r>
        <w:rPr>
          <w:rFonts w:hint="eastAsia" w:ascii="仿宋_GB2312" w:eastAsia="仿宋_GB2312" w:cs="Arial Unicode MS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Calibri" w:eastAsia="仿宋_GB2312" w:cs="Arial Unicode MS"/>
          <w:color w:val="auto"/>
          <w:sz w:val="32"/>
          <w:szCs w:val="32"/>
          <w:highlight w:val="none"/>
          <w:lang w:val="en-US" w:eastAsia="zh-CN"/>
        </w:rPr>
        <w:t>按照市科技计划项目有关管理规定执行，实现全流程闭环管理。</w:t>
      </w:r>
    </w:p>
    <w:p>
      <w:pPr>
        <w:pStyle w:val="3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</w:rPr>
      </w:pPr>
      <w:r>
        <w:rPr>
          <w:rFonts w:hint="eastAsia" w:ascii="仿宋_GB2312"/>
          <w:color w:val="auto"/>
          <w:sz w:val="32"/>
          <w:szCs w:val="32"/>
          <w:lang w:eastAsia="zh-CN"/>
        </w:rPr>
        <w:t>编制</w:t>
      </w:r>
      <w:r>
        <w:rPr>
          <w:rFonts w:hint="eastAsia" w:ascii="仿宋_GB2312"/>
          <w:color w:val="auto"/>
          <w:sz w:val="32"/>
          <w:szCs w:val="32"/>
        </w:rPr>
        <w:t>过程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（一）草拟阶段。2023年3月，完成《管理办法》</w:t>
      </w: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初稿</w:t>
      </w: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的编写工作。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（二）征求意见阶段。202</w:t>
      </w: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年4月，在委内征集意见</w:t>
      </w: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，共收到13条意见，均予以采纳，经修改完善</w:t>
      </w: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形成《</w:t>
      </w: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管理办法</w:t>
      </w: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》。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mbria" w:eastAsia="黑体" w:cs="Times New Roman"/>
          <w:b w:val="0"/>
          <w:bCs/>
          <w:color w:val="auto"/>
          <w:sz w:val="32"/>
          <w:szCs w:val="32"/>
        </w:rPr>
      </w:pPr>
      <w:r>
        <w:rPr>
          <w:rFonts w:hint="eastAsia" w:ascii="仿宋_GB2312" w:hAnsi="Cambria" w:eastAsia="黑体" w:cs="Times New Roman"/>
          <w:b w:val="0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Cambria" w:eastAsia="黑体" w:cs="Times New Roman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Calibri" w:cs="Arial Unicode MS"/>
          <w:color w:val="auto"/>
          <w:sz w:val="32"/>
          <w:szCs w:val="32"/>
          <w:highlight w:val="none"/>
          <w:lang w:val="en-US" w:eastAsia="zh-CN"/>
        </w:rPr>
        <w:t>《管理办法》</w:t>
      </w:r>
      <w:r>
        <w:rPr>
          <w:rFonts w:hint="eastAsia" w:ascii="仿宋_GB2312" w:hAnsi="Cambria" w:eastAsia="黑体" w:cs="Times New Roman"/>
          <w:b w:val="0"/>
          <w:bCs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Cambria" w:eastAsia="黑体" w:cs="Times New Roman"/>
          <w:b w:val="0"/>
          <w:bCs/>
          <w:color w:val="auto"/>
          <w:sz w:val="32"/>
          <w:szCs w:val="32"/>
        </w:rPr>
        <w:t>内容</w:t>
      </w:r>
    </w:p>
    <w:p>
      <w:pPr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《管理办法》共分总则、项目申请、</w:t>
      </w: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项目实施与管理</w:t>
      </w: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、附则等</w:t>
      </w: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个章节</w:t>
      </w: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十七</w:t>
      </w: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条。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总则</w:t>
      </w: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该部分明确《管理办法》的制定依据、重点支持领域、专项类型、主管部门职责</w:t>
      </w: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等内容</w:t>
      </w: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7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项目申请</w:t>
      </w: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。该</w:t>
      </w: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部分</w:t>
      </w: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明确自然科学基金专项组织实施方式，规范申请单位和项目牵头申请人资格，进一步明确合作要求、限项要求和公示要求，就申请方式和任务书（或合同）签订作出原则性规定。</w:t>
      </w:r>
    </w:p>
    <w:p>
      <w:pPr>
        <w:pStyle w:val="7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项目实施与管理。</w:t>
      </w: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该部分</w:t>
      </w: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主要</w:t>
      </w: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明确项目承担单位职责义务</w:t>
      </w: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经费使用与管理、过程管理、诚信管理、验收要求</w:t>
      </w: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和主管部门工作人员要求</w:t>
      </w: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7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附则</w:t>
      </w: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该部分明确知识产权要求</w:t>
      </w:r>
      <w:r>
        <w:rPr>
          <w:rFonts w:hint="eastAsia" w:ascii="仿宋_GB2312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和《管理办法》有效期</w:t>
      </w:r>
      <w:r>
        <w:rPr>
          <w:rFonts w:hint="eastAsia" w:ascii="仿宋_GB2312" w:hAnsi="Calibri" w:eastAsia="仿宋_GB2312" w:cs="Arial Unicode MS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sectPr>
      <w:footerReference r:id="rId3" w:type="default"/>
      <w:pgSz w:w="11906" w:h="16838"/>
      <w:pgMar w:top="2098" w:right="1474" w:bottom="1984" w:left="1587" w:header="851" w:footer="850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F608E"/>
    <w:multiLevelType w:val="singleLevel"/>
    <w:tmpl w:val="BD9F60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E92E21A"/>
    <w:multiLevelType w:val="singleLevel"/>
    <w:tmpl w:val="DE92E21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B4B09"/>
    <w:rsid w:val="1BDD3101"/>
    <w:rsid w:val="1BEFF0CB"/>
    <w:rsid w:val="1DEA840A"/>
    <w:rsid w:val="35CE8CB1"/>
    <w:rsid w:val="36FF435B"/>
    <w:rsid w:val="3BDB317F"/>
    <w:rsid w:val="3EAB0813"/>
    <w:rsid w:val="3EEF56C7"/>
    <w:rsid w:val="3EFF9893"/>
    <w:rsid w:val="3FE984C6"/>
    <w:rsid w:val="3FF9A53C"/>
    <w:rsid w:val="47F6B35E"/>
    <w:rsid w:val="502F8544"/>
    <w:rsid w:val="53EF1775"/>
    <w:rsid w:val="597EE7F4"/>
    <w:rsid w:val="5BBA797D"/>
    <w:rsid w:val="5BBFDD0F"/>
    <w:rsid w:val="5DB7F3F8"/>
    <w:rsid w:val="5EAF5B7E"/>
    <w:rsid w:val="5EAFF905"/>
    <w:rsid w:val="5EF9CB44"/>
    <w:rsid w:val="5F4628E8"/>
    <w:rsid w:val="5F795EBF"/>
    <w:rsid w:val="5FF96A1D"/>
    <w:rsid w:val="5FFBD415"/>
    <w:rsid w:val="636D3225"/>
    <w:rsid w:val="66ED172A"/>
    <w:rsid w:val="67F721F5"/>
    <w:rsid w:val="67FE4011"/>
    <w:rsid w:val="683E16E5"/>
    <w:rsid w:val="6BBDAB50"/>
    <w:rsid w:val="6BFB57EF"/>
    <w:rsid w:val="6DF7C372"/>
    <w:rsid w:val="6DF9DD88"/>
    <w:rsid w:val="6F4F63B3"/>
    <w:rsid w:val="6FBE885D"/>
    <w:rsid w:val="6FEF9AAA"/>
    <w:rsid w:val="733E8EA1"/>
    <w:rsid w:val="757F9472"/>
    <w:rsid w:val="75BF98C3"/>
    <w:rsid w:val="75CF8890"/>
    <w:rsid w:val="7757F26B"/>
    <w:rsid w:val="77F36743"/>
    <w:rsid w:val="78FF6B33"/>
    <w:rsid w:val="7D55CCA1"/>
    <w:rsid w:val="7DA95EDA"/>
    <w:rsid w:val="7DDFAB19"/>
    <w:rsid w:val="7DFF1182"/>
    <w:rsid w:val="7E595726"/>
    <w:rsid w:val="7ED70FBA"/>
    <w:rsid w:val="7EDF398B"/>
    <w:rsid w:val="7EFB22F7"/>
    <w:rsid w:val="7F1F46D8"/>
    <w:rsid w:val="7F7F9500"/>
    <w:rsid w:val="7FFB46B6"/>
    <w:rsid w:val="7FFDCDDC"/>
    <w:rsid w:val="8FBB58BA"/>
    <w:rsid w:val="B1730E96"/>
    <w:rsid w:val="B64FC41E"/>
    <w:rsid w:val="B6FCB206"/>
    <w:rsid w:val="BB6FE872"/>
    <w:rsid w:val="BD8E4BDB"/>
    <w:rsid w:val="BFEFEA46"/>
    <w:rsid w:val="C6FEE1F7"/>
    <w:rsid w:val="D3FC56BD"/>
    <w:rsid w:val="D7F9581E"/>
    <w:rsid w:val="D7FFEA4D"/>
    <w:rsid w:val="DDEFBFD6"/>
    <w:rsid w:val="DF3F26D0"/>
    <w:rsid w:val="E5FC34F7"/>
    <w:rsid w:val="EBDB75CE"/>
    <w:rsid w:val="EF3F2699"/>
    <w:rsid w:val="EFCEEB04"/>
    <w:rsid w:val="F0EF8586"/>
    <w:rsid w:val="F17FB7A4"/>
    <w:rsid w:val="F3FB5830"/>
    <w:rsid w:val="F55F2552"/>
    <w:rsid w:val="F74A511B"/>
    <w:rsid w:val="F75BB0BE"/>
    <w:rsid w:val="F76FBCE7"/>
    <w:rsid w:val="F7B7B7F6"/>
    <w:rsid w:val="F7FF9F09"/>
    <w:rsid w:val="F7FFA964"/>
    <w:rsid w:val="F9DD669A"/>
    <w:rsid w:val="F9FC4730"/>
    <w:rsid w:val="FB3B6F66"/>
    <w:rsid w:val="FBFF6E36"/>
    <w:rsid w:val="FBFFCA42"/>
    <w:rsid w:val="FCE905CC"/>
    <w:rsid w:val="FCF683D2"/>
    <w:rsid w:val="FF7F6E35"/>
    <w:rsid w:val="FFF7B8FC"/>
    <w:rsid w:val="FFF90D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仿宋_GB2312" w:hAnsi="仿宋_GB2312" w:eastAsia="仿宋_GB2312" w:cs="Times New Roman"/>
      <w:b/>
      <w:kern w:val="44"/>
      <w:sz w:val="28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ind w:firstLine="200" w:firstLineChars="200"/>
      <w:outlineLvl w:val="3"/>
    </w:pPr>
    <w:rPr>
      <w:rFonts w:ascii="Cambria" w:hAnsi="Cambria" w:eastAsia="黑体" w:cs="Times New Roman"/>
      <w:bCs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  <w:rPr>
      <w:rFonts w:eastAsia="仿宋"/>
      <w:sz w:val="32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10.3333333333333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许勤</cp:lastModifiedBy>
  <dcterms:modified xsi:type="dcterms:W3CDTF">2023-06-12T08:40:00Z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81221090F67F4BD2B8134877E309D7C0</vt:lpwstr>
  </property>
</Properties>
</file>