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beforeLines="50" w:after="120" w:afterLines="50"/>
        <w:jc w:val="center"/>
        <w:outlineLvl w:val="2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法人单位基本情况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9"/>
        <w:gridCol w:w="3081"/>
        <w:gridCol w:w="889"/>
        <w:gridCol w:w="17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</w:t>
            </w:r>
            <w:r>
              <w:rPr>
                <w:rFonts w:hint="eastAsia" w:ascii="宋体" w:hAnsi="宋体"/>
                <w:sz w:val="18"/>
                <w:szCs w:val="18"/>
              </w:rPr>
              <w:t>〔20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2〕90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jc w:val="distribute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2024</w:t>
            </w:r>
            <w:r>
              <w:rPr>
                <w:rFonts w:ascii="宋体" w:hAnsi="宋体"/>
                <w:sz w:val="18"/>
                <w:szCs w:val="18"/>
              </w:rPr>
              <w:t>年１月</w:t>
            </w:r>
          </w:p>
        </w:tc>
      </w:tr>
    </w:tbl>
    <w:p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457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统一社会信用代码</w:t>
            </w:r>
          </w:p>
          <w:p>
            <w:pPr>
              <w:snapToGrid w:val="0"/>
              <w:ind w:firstLine="900" w:firstLineChars="5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□□□□□□□□□□□□□□□□□□</w:t>
            </w:r>
          </w:p>
          <w:p>
            <w:pPr>
              <w:snapToGrid w:val="0"/>
              <w:jc w:val="left"/>
              <w:rPr>
                <w:rFonts w:hint="eastAsia" w:ascii="楷体_GB2312" w:hAnsi="宋体" w:eastAsia="楷体_GB2312" w:cs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原组织机构代码</w:t>
            </w:r>
          </w:p>
          <w:p>
            <w:pPr>
              <w:snapToGrid w:val="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□□□□□□□□－□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6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u w:val="single"/>
              </w:rPr>
              <w:t xml:space="preserve">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单位所在地区划及详细地址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镇、街道办事处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单位注册地区划及详细地址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镇、街道办事处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联系方式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    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    □□□□□□□□-□□□□□□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移动电话    □□□□□□□□□□□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    □□□□□□□□-□□□□□□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    □□□□□□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u w:val="single"/>
              </w:rPr>
              <w:t xml:space="preserve">           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 xml:space="preserve">   统计机构填写：</w:t>
            </w: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      □□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>
            <w:pPr>
              <w:snapToGrid w:val="0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    □□□</w:t>
            </w:r>
          </w:p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                                      港澳台商投资                  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159 其他有限责任公司   210 与港澳台商合资经营        310 中外合资经营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         160 股份有限公司       220 与港澳台商合作经营        320 中外合作经营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171 私营独资           230 港澳台商独资              330 外资企业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141 国有联营       172 私营合伙  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 xml:space="preserve">         240 港澳台商投资股份有限公司  340 外商投资股份有限公司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173 私营有限责任公司   290 其他港澳台商投资          390 其他外商投资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174 私营股份有限公司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190 其他</w:t>
            </w:r>
          </w:p>
          <w:p>
            <w:pPr>
              <w:snapToGrid w:val="0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8" w:hRule="atLeast"/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    □    1 国有控股   2 集体控股   3 私人控股   4 港澳台商控股   5 外商控股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8" w:hRule="atLeast"/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□□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10 中央    11 地方    90 其他</w:t>
            </w:r>
          </w:p>
        </w:tc>
      </w:tr>
    </w:tbl>
    <w:p>
      <w:pPr>
        <w:rPr>
          <w:rFonts w:ascii="宋体"/>
          <w:sz w:val="18"/>
          <w:szCs w:val="18"/>
        </w:rPr>
        <w:sectPr>
          <w:pgSz w:w="11906" w:h="16838"/>
          <w:pgMar w:top="1418" w:right="1247" w:bottom="1247" w:left="1247" w:header="851" w:footer="992" w:gutter="0"/>
          <w:pgNumType w:fmt="numberInDash"/>
          <w:cols w:space="720" w:num="1"/>
          <w:docGrid w:linePitch="312" w:charSpace="0"/>
        </w:sectPr>
      </w:pPr>
    </w:p>
    <w:p/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02" w:firstLineChars="5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left="1905" w:leftChars="7" w:hanging="1890" w:hangingChars="10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运营状态□ </w:t>
            </w:r>
          </w:p>
          <w:p>
            <w:pPr>
              <w:spacing w:line="220" w:lineRule="exact"/>
              <w:ind w:left="1935" w:leftChars="107" w:hanging="1710" w:hangingChars="95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1正常运营  2停业(歇业)  3筹建  4当年关闭  5当年破产  6当年注销  7当年撤(</w:t>
            </w:r>
            <w:r>
              <w:rPr>
                <w:rFonts w:ascii="宋体" w:hAnsi="宋体"/>
                <w:sz w:val="18"/>
                <w:szCs w:val="18"/>
              </w:rPr>
              <w:t>吊</w:t>
            </w:r>
            <w:r>
              <w:rPr>
                <w:rFonts w:hint="eastAsia" w:ascii="宋体" w:hAnsi="宋体"/>
                <w:sz w:val="18"/>
                <w:szCs w:val="18"/>
              </w:rPr>
              <w:t>)</w:t>
            </w:r>
            <w:r>
              <w:rPr>
                <w:rFonts w:ascii="宋体" w:hAnsi="宋体"/>
                <w:sz w:val="18"/>
                <w:szCs w:val="18"/>
              </w:rPr>
              <w:t xml:space="preserve">销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    □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企业会计准则制度    2 政府会计准则制度    4 民间非营利组织会计制度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执行企业会计准则情况     □ 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         2  执行《小企业会计准则》   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个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□□□□□□□□□□□□□□□□□□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建筑业企业资质等级编码（有资质的企业，请填写建筑业企业资质等级编码，没有资质的填‘9999’）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 w:cs="黑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>建筑业企业新资质编码（若已更换最新资质证书，按新资质再次填写）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>
            <w:pPr>
              <w:spacing w:line="22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零售业态（可多选，不超过3个）    □□□□   □□□□    □□□□</w:t>
            </w:r>
          </w:p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有店铺零售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 便利店    1020  超市    1030  折扣店        1040  仓储会员店    1050  百货店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1060  购物中心  1070  专业店  1080  品牌专卖店    1090  集合店        1100  无人值守商店</w:t>
            </w:r>
          </w:p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无店铺零售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 网络零售    2020  电视/广播零售    2030  邮寄零售       2040  无人售货设备零售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2050  电话零售    2060  直销             2070  流动货摊零售   2090  其他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      □      1 一星     2 二星    3 三星    4 四星    5 五星    9 其他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单位负责人：    统计负责人：     填表人： </w:t>
      </w:r>
      <w:r>
        <w:rPr>
          <w:rFonts w:ascii="宋体" w:hAnsi="宋体"/>
          <w:sz w:val="18"/>
          <w:szCs w:val="18"/>
        </w:rPr>
        <w:t xml:space="preserve">      </w:t>
      </w:r>
      <w:r>
        <w:rPr>
          <w:rFonts w:hint="eastAsia" w:ascii="宋体" w:hAnsi="宋体"/>
          <w:sz w:val="18"/>
          <w:szCs w:val="18"/>
        </w:rPr>
        <w:t xml:space="preserve">填表人联系电话（手机）：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>
      <w:pPr>
        <w:spacing w:line="260" w:lineRule="exact"/>
        <w:jc w:val="righ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60" w:lineRule="exact"/>
        <w:jc w:val="right"/>
        <w:rPr>
          <w:rFonts w:hint="eastAsia" w:ascii="宋体" w:hAnsi="宋体" w:cs="宋体"/>
          <w:sz w:val="18"/>
          <w:szCs w:val="18"/>
        </w:rPr>
      </w:pPr>
    </w:p>
    <w:p>
      <w:pPr>
        <w:spacing w:line="260" w:lineRule="exact"/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BBFC5"/>
    <w:rsid w:val="5A5F68A3"/>
    <w:rsid w:val="7D5E4BA2"/>
    <w:rsid w:val="7F7BBFC5"/>
    <w:rsid w:val="F73F89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2023-09-08T08:42:00Z</dcterms:created>
  <dc:creator>ns</dc:creator>
  <cp:lastModifiedBy>陈增光</cp:lastModifiedBy>
  <dcterms:modified xsi:type="dcterms:W3CDTF">2023-09-07T17:21:54Z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