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Pr>
      <w:r>
        <w:rPr>
          <w:rFonts w:hint="eastAsia"/>
        </w:rPr>
        <w:t>技术</w:t>
      </w:r>
      <w:r>
        <w:t>需求</w:t>
      </w:r>
      <w:r>
        <w:rPr>
          <w:rFonts w:hint="eastAsia"/>
        </w:rPr>
        <w:t>书</w:t>
      </w:r>
    </w:p>
    <w:p>
      <w:pPr>
        <w:pStyle w:val="2"/>
      </w:pPr>
      <w:r>
        <w:rPr>
          <w:rFonts w:hint="eastAsia"/>
        </w:rPr>
        <w:t>馆内</w:t>
      </w:r>
      <w:r>
        <w:t>现状</w:t>
      </w:r>
    </w:p>
    <w:p>
      <w:pPr>
        <w:pStyle w:val="10"/>
        <w:ind w:firstLine="480"/>
      </w:pPr>
      <w:r>
        <w:rPr>
          <w:rFonts w:hint="eastAsia"/>
        </w:rPr>
        <w:t>宝安区科技创新服务中心智慧科技馆于2017年开始建设，2019年竣工验收。建设内容包括智慧科技馆软件平台和集成平台。建成后为宝安区的科普服务提供了发挥了重要作用。由于建成时间较长，馆内无专业技术人员，项目中的主要硬件设施已过质保期，陆续出现故障。为了充分保障科技馆的日常运行及充分服务日益增长的观众参观需求，计划在原有系统基础上增加观众预约系统及人员通行系统，来引导参观人流，并引入专业团队对原智慧科技馆软件平台和集成平台进行年度维保，以满足日益增长的业务要求和保障馆内正常业务的开展。</w:t>
      </w:r>
    </w:p>
    <w:p>
      <w:pPr>
        <w:pStyle w:val="2"/>
      </w:pPr>
      <w:r>
        <w:rPr>
          <w:rFonts w:hint="eastAsia"/>
        </w:rPr>
        <w:t>服务内容</w:t>
      </w:r>
    </w:p>
    <w:p>
      <w:pPr>
        <w:pStyle w:val="10"/>
        <w:ind w:firstLine="480"/>
      </w:pPr>
      <w:r>
        <w:rPr>
          <w:rFonts w:hint="eastAsia"/>
        </w:rPr>
        <w:t>宝安区科技创新服务中心智慧科技馆系统升级及年度维保服务项目（以下简称“本项目”）服务内容包含以下2大部分</w:t>
      </w:r>
    </w:p>
    <w:p>
      <w:pPr>
        <w:pStyle w:val="3"/>
      </w:pPr>
      <w:r>
        <w:rPr>
          <w:rFonts w:hint="eastAsia"/>
        </w:rPr>
        <w:t>系统升级</w:t>
      </w:r>
      <w:r>
        <w:t>服务</w:t>
      </w:r>
    </w:p>
    <w:p>
      <w:pPr>
        <w:pStyle w:val="10"/>
        <w:ind w:firstLine="480"/>
      </w:pPr>
      <w:r>
        <w:rPr>
          <w:rFonts w:hint="eastAsia"/>
        </w:rPr>
        <w:t>主要</w:t>
      </w:r>
      <w:r>
        <w:t>为</w:t>
      </w:r>
      <w:r>
        <w:rPr>
          <w:rFonts w:hint="eastAsia"/>
        </w:rPr>
        <w:t>升级</w:t>
      </w:r>
      <w:r>
        <w:t>访客预约系统</w:t>
      </w:r>
      <w:r>
        <w:rPr>
          <w:rFonts w:hint="eastAsia"/>
        </w:rPr>
        <w:t>与人员</w:t>
      </w:r>
      <w:r>
        <w:t>通行闸机</w:t>
      </w:r>
      <w:r>
        <w:rPr>
          <w:rFonts w:hint="eastAsia"/>
        </w:rPr>
        <w:t>，服务主要</w:t>
      </w:r>
      <w:r>
        <w:t>内容如下：</w:t>
      </w:r>
    </w:p>
    <w:tbl>
      <w:tblPr>
        <w:tblStyle w:val="8"/>
        <w:tblW w:w="5000" w:type="pct"/>
        <w:tblInd w:w="0" w:type="dxa"/>
        <w:tblLayout w:type="autofit"/>
        <w:tblCellMar>
          <w:top w:w="0" w:type="dxa"/>
          <w:left w:w="108" w:type="dxa"/>
          <w:bottom w:w="0" w:type="dxa"/>
          <w:right w:w="108" w:type="dxa"/>
        </w:tblCellMar>
      </w:tblPr>
      <w:tblGrid>
        <w:gridCol w:w="903"/>
        <w:gridCol w:w="1584"/>
        <w:gridCol w:w="3769"/>
        <w:gridCol w:w="728"/>
        <w:gridCol w:w="728"/>
        <w:gridCol w:w="810"/>
      </w:tblGrid>
      <w:tr>
        <w:tblPrEx>
          <w:tblCellMar>
            <w:top w:w="0" w:type="dxa"/>
            <w:left w:w="108" w:type="dxa"/>
            <w:bottom w:w="0" w:type="dxa"/>
            <w:right w:w="108" w:type="dxa"/>
          </w:tblCellMar>
        </w:tblPrEx>
        <w:trPr>
          <w:trHeight w:val="480" w:hRule="atLeast"/>
        </w:trPr>
        <w:tc>
          <w:tcPr>
            <w:tcW w:w="530" w:type="pct"/>
            <w:tcBorders>
              <w:top w:val="single" w:color="auto" w:sz="4" w:space="0"/>
              <w:left w:val="single" w:color="auto" w:sz="4" w:space="0"/>
              <w:bottom w:val="single" w:color="auto" w:sz="4" w:space="0"/>
              <w:right w:val="single" w:color="auto" w:sz="4" w:space="0"/>
            </w:tcBorders>
            <w:shd w:val="clear" w:color="000000" w:fill="BFBFBF"/>
            <w:noWrap/>
            <w:vAlign w:val="center"/>
          </w:tcPr>
          <w:p>
            <w:pPr>
              <w:widowControl/>
              <w:spacing w:line="240" w:lineRule="auto"/>
              <w:jc w:val="center"/>
              <w:rPr>
                <w:rFonts w:cs="宋体" w:asciiTheme="minorEastAsia" w:hAnsiTheme="minorEastAsia"/>
                <w:b/>
                <w:bCs/>
                <w:color w:val="000000"/>
                <w:kern w:val="0"/>
                <w:sz w:val="21"/>
              </w:rPr>
            </w:pPr>
            <w:r>
              <w:rPr>
                <w:rFonts w:hint="eastAsia" w:cs="宋体" w:asciiTheme="minorEastAsia" w:hAnsiTheme="minorEastAsia"/>
                <w:b/>
                <w:bCs/>
                <w:color w:val="000000"/>
                <w:kern w:val="0"/>
                <w:sz w:val="21"/>
              </w:rPr>
              <w:t>序号</w:t>
            </w:r>
          </w:p>
        </w:tc>
        <w:tc>
          <w:tcPr>
            <w:tcW w:w="929" w:type="pct"/>
            <w:tcBorders>
              <w:top w:val="single" w:color="auto" w:sz="4" w:space="0"/>
              <w:left w:val="nil"/>
              <w:bottom w:val="single" w:color="auto" w:sz="4" w:space="0"/>
              <w:right w:val="single" w:color="auto" w:sz="4" w:space="0"/>
            </w:tcBorders>
            <w:shd w:val="clear" w:color="000000" w:fill="BFBFBF"/>
            <w:noWrap/>
            <w:vAlign w:val="center"/>
          </w:tcPr>
          <w:p>
            <w:pPr>
              <w:widowControl/>
              <w:spacing w:line="240" w:lineRule="auto"/>
              <w:jc w:val="center"/>
              <w:rPr>
                <w:rFonts w:cs="宋体" w:asciiTheme="minorEastAsia" w:hAnsiTheme="minorEastAsia"/>
                <w:b/>
                <w:bCs/>
                <w:color w:val="000000"/>
                <w:kern w:val="0"/>
                <w:sz w:val="21"/>
              </w:rPr>
            </w:pPr>
            <w:r>
              <w:rPr>
                <w:rFonts w:hint="eastAsia" w:cs="宋体" w:asciiTheme="minorEastAsia" w:hAnsiTheme="minorEastAsia"/>
                <w:b/>
                <w:bCs/>
                <w:color w:val="000000"/>
                <w:kern w:val="0"/>
                <w:sz w:val="21"/>
              </w:rPr>
              <w:t>项目</w:t>
            </w:r>
          </w:p>
        </w:tc>
        <w:tc>
          <w:tcPr>
            <w:tcW w:w="2211" w:type="pct"/>
            <w:tcBorders>
              <w:top w:val="single" w:color="auto" w:sz="4" w:space="0"/>
              <w:left w:val="nil"/>
              <w:bottom w:val="single" w:color="auto" w:sz="4" w:space="0"/>
              <w:right w:val="single" w:color="auto" w:sz="4" w:space="0"/>
            </w:tcBorders>
            <w:shd w:val="clear" w:color="000000" w:fill="BFBFBF"/>
            <w:vAlign w:val="center"/>
          </w:tcPr>
          <w:p>
            <w:pPr>
              <w:widowControl/>
              <w:spacing w:line="240" w:lineRule="auto"/>
              <w:jc w:val="center"/>
              <w:rPr>
                <w:rFonts w:cs="宋体" w:asciiTheme="minorEastAsia" w:hAnsiTheme="minorEastAsia"/>
                <w:b/>
                <w:bCs/>
                <w:color w:val="000000"/>
                <w:kern w:val="0"/>
                <w:sz w:val="21"/>
              </w:rPr>
            </w:pPr>
            <w:r>
              <w:rPr>
                <w:rFonts w:hint="eastAsia" w:cs="宋体" w:asciiTheme="minorEastAsia" w:hAnsiTheme="minorEastAsia"/>
                <w:b/>
                <w:bCs/>
                <w:color w:val="000000"/>
                <w:kern w:val="0"/>
                <w:sz w:val="21"/>
              </w:rPr>
              <w:t>设备型号及参数/开发内容</w:t>
            </w:r>
          </w:p>
        </w:tc>
        <w:tc>
          <w:tcPr>
            <w:tcW w:w="427" w:type="pct"/>
            <w:tcBorders>
              <w:top w:val="single" w:color="auto" w:sz="4" w:space="0"/>
              <w:left w:val="nil"/>
              <w:bottom w:val="single" w:color="auto" w:sz="4" w:space="0"/>
              <w:right w:val="single" w:color="auto" w:sz="4" w:space="0"/>
            </w:tcBorders>
            <w:shd w:val="clear" w:color="000000" w:fill="BFBFBF"/>
            <w:noWrap/>
            <w:vAlign w:val="center"/>
          </w:tcPr>
          <w:p>
            <w:pPr>
              <w:widowControl/>
              <w:spacing w:line="240" w:lineRule="auto"/>
              <w:jc w:val="center"/>
              <w:rPr>
                <w:rFonts w:cs="宋体" w:asciiTheme="minorEastAsia" w:hAnsiTheme="minorEastAsia"/>
                <w:b/>
                <w:bCs/>
                <w:color w:val="000000"/>
                <w:kern w:val="0"/>
                <w:sz w:val="21"/>
              </w:rPr>
            </w:pPr>
            <w:r>
              <w:rPr>
                <w:rFonts w:hint="eastAsia" w:cs="宋体" w:asciiTheme="minorEastAsia" w:hAnsiTheme="minorEastAsia"/>
                <w:b/>
                <w:bCs/>
                <w:color w:val="000000"/>
                <w:kern w:val="0"/>
                <w:sz w:val="21"/>
              </w:rPr>
              <w:t>单位</w:t>
            </w:r>
          </w:p>
        </w:tc>
        <w:tc>
          <w:tcPr>
            <w:tcW w:w="427" w:type="pct"/>
            <w:tcBorders>
              <w:top w:val="single" w:color="auto" w:sz="4" w:space="0"/>
              <w:left w:val="nil"/>
              <w:bottom w:val="single" w:color="auto" w:sz="4" w:space="0"/>
              <w:right w:val="single" w:color="auto" w:sz="4" w:space="0"/>
            </w:tcBorders>
            <w:shd w:val="clear" w:color="000000" w:fill="BFBFBF"/>
            <w:noWrap/>
            <w:vAlign w:val="center"/>
          </w:tcPr>
          <w:p>
            <w:pPr>
              <w:widowControl/>
              <w:spacing w:line="240" w:lineRule="auto"/>
              <w:jc w:val="center"/>
              <w:rPr>
                <w:rFonts w:cs="宋体" w:asciiTheme="minorEastAsia" w:hAnsiTheme="minorEastAsia"/>
                <w:b/>
                <w:bCs/>
                <w:color w:val="000000"/>
                <w:kern w:val="0"/>
                <w:sz w:val="21"/>
              </w:rPr>
            </w:pPr>
            <w:r>
              <w:rPr>
                <w:rFonts w:hint="eastAsia" w:cs="宋体" w:asciiTheme="minorEastAsia" w:hAnsiTheme="minorEastAsia"/>
                <w:b/>
                <w:bCs/>
                <w:color w:val="000000"/>
                <w:kern w:val="0"/>
                <w:sz w:val="21"/>
              </w:rPr>
              <w:t>数量</w:t>
            </w:r>
          </w:p>
        </w:tc>
        <w:tc>
          <w:tcPr>
            <w:tcW w:w="475" w:type="pct"/>
            <w:tcBorders>
              <w:top w:val="single" w:color="auto" w:sz="4" w:space="0"/>
              <w:left w:val="nil"/>
              <w:bottom w:val="single" w:color="auto" w:sz="4" w:space="0"/>
              <w:right w:val="single" w:color="auto" w:sz="4" w:space="0"/>
            </w:tcBorders>
            <w:shd w:val="clear" w:color="000000" w:fill="BFBFBF"/>
            <w:noWrap/>
            <w:vAlign w:val="center"/>
          </w:tcPr>
          <w:p>
            <w:pPr>
              <w:widowControl/>
              <w:spacing w:line="240" w:lineRule="auto"/>
              <w:jc w:val="left"/>
              <w:rPr>
                <w:rFonts w:cs="宋体" w:asciiTheme="minorEastAsia" w:hAnsiTheme="minorEastAsia"/>
                <w:b/>
                <w:bCs/>
                <w:color w:val="000000"/>
                <w:kern w:val="0"/>
                <w:sz w:val="21"/>
              </w:rPr>
            </w:pPr>
            <w:r>
              <w:rPr>
                <w:rFonts w:hint="eastAsia" w:cs="宋体" w:asciiTheme="minorEastAsia" w:hAnsiTheme="minorEastAsia"/>
                <w:b/>
                <w:bCs/>
                <w:color w:val="000000"/>
                <w:kern w:val="0"/>
                <w:sz w:val="21"/>
              </w:rPr>
              <w:t>备注</w:t>
            </w:r>
          </w:p>
        </w:tc>
      </w:tr>
      <w:tr>
        <w:tblPrEx>
          <w:tblCellMar>
            <w:top w:w="0" w:type="dxa"/>
            <w:left w:w="108" w:type="dxa"/>
            <w:bottom w:w="0" w:type="dxa"/>
            <w:right w:w="108" w:type="dxa"/>
          </w:tblCellMar>
        </w:tblPrEx>
        <w:trPr>
          <w:trHeight w:val="270" w:hRule="atLeast"/>
        </w:trPr>
        <w:tc>
          <w:tcPr>
            <w:tcW w:w="530" w:type="pct"/>
            <w:tcBorders>
              <w:top w:val="nil"/>
              <w:left w:val="single" w:color="auto" w:sz="4" w:space="0"/>
              <w:bottom w:val="single" w:color="auto" w:sz="4" w:space="0"/>
              <w:right w:val="single" w:color="auto" w:sz="4" w:space="0"/>
            </w:tcBorders>
            <w:shd w:val="clear" w:color="000000" w:fill="D9D9D9"/>
            <w:noWrap/>
            <w:vAlign w:val="center"/>
          </w:tcPr>
          <w:p>
            <w:pPr>
              <w:widowControl/>
              <w:spacing w:line="240" w:lineRule="auto"/>
              <w:jc w:val="center"/>
              <w:rPr>
                <w:rFonts w:cs="宋体" w:asciiTheme="minorEastAsia" w:hAnsiTheme="minorEastAsia"/>
                <w:b/>
                <w:bCs/>
                <w:color w:val="000000"/>
                <w:kern w:val="0"/>
                <w:sz w:val="21"/>
              </w:rPr>
            </w:pPr>
            <w:r>
              <w:rPr>
                <w:rFonts w:hint="eastAsia" w:cs="宋体" w:asciiTheme="minorEastAsia" w:hAnsiTheme="minorEastAsia"/>
                <w:b/>
                <w:bCs/>
                <w:color w:val="000000"/>
                <w:kern w:val="0"/>
                <w:sz w:val="21"/>
              </w:rPr>
              <w:t>一</w:t>
            </w:r>
          </w:p>
        </w:tc>
        <w:tc>
          <w:tcPr>
            <w:tcW w:w="929" w:type="pct"/>
            <w:tcBorders>
              <w:top w:val="nil"/>
              <w:left w:val="nil"/>
              <w:bottom w:val="single" w:color="auto" w:sz="4" w:space="0"/>
              <w:right w:val="single" w:color="auto" w:sz="4" w:space="0"/>
            </w:tcBorders>
            <w:shd w:val="clear" w:color="000000" w:fill="D9D9D9"/>
            <w:noWrap/>
            <w:vAlign w:val="center"/>
          </w:tcPr>
          <w:p>
            <w:pPr>
              <w:widowControl/>
              <w:spacing w:line="240" w:lineRule="auto"/>
              <w:jc w:val="left"/>
              <w:rPr>
                <w:rFonts w:cs="宋体" w:asciiTheme="minorEastAsia" w:hAnsiTheme="minorEastAsia"/>
                <w:b/>
                <w:bCs/>
                <w:color w:val="000000"/>
                <w:kern w:val="0"/>
                <w:sz w:val="21"/>
              </w:rPr>
            </w:pPr>
            <w:r>
              <w:rPr>
                <w:rFonts w:hint="eastAsia" w:cs="宋体" w:asciiTheme="minorEastAsia" w:hAnsiTheme="minorEastAsia"/>
                <w:b/>
                <w:bCs/>
                <w:color w:val="000000"/>
                <w:kern w:val="0"/>
                <w:sz w:val="21"/>
              </w:rPr>
              <w:t>系统升级服务</w:t>
            </w:r>
          </w:p>
        </w:tc>
        <w:tc>
          <w:tcPr>
            <w:tcW w:w="2211" w:type="pct"/>
            <w:tcBorders>
              <w:top w:val="nil"/>
              <w:left w:val="nil"/>
              <w:bottom w:val="single" w:color="auto" w:sz="4" w:space="0"/>
              <w:right w:val="single" w:color="auto" w:sz="4" w:space="0"/>
            </w:tcBorders>
            <w:shd w:val="clear" w:color="000000" w:fill="D9D9D9"/>
            <w:noWrap/>
            <w:vAlign w:val="center"/>
          </w:tcPr>
          <w:p>
            <w:pPr>
              <w:widowControl/>
              <w:spacing w:line="240" w:lineRule="auto"/>
              <w:jc w:val="left"/>
              <w:rPr>
                <w:rFonts w:cs="宋体" w:asciiTheme="minorEastAsia" w:hAnsiTheme="minorEastAsia"/>
                <w:b/>
                <w:bCs/>
                <w:color w:val="000000"/>
                <w:kern w:val="0"/>
                <w:sz w:val="21"/>
              </w:rPr>
            </w:pPr>
            <w:r>
              <w:rPr>
                <w:rFonts w:hint="eastAsia" w:cs="宋体" w:asciiTheme="minorEastAsia" w:hAnsiTheme="minorEastAsia"/>
                <w:b/>
                <w:bCs/>
                <w:color w:val="000000"/>
                <w:kern w:val="0"/>
                <w:sz w:val="21"/>
              </w:rPr>
              <w:t>　</w:t>
            </w:r>
          </w:p>
        </w:tc>
        <w:tc>
          <w:tcPr>
            <w:tcW w:w="427" w:type="pct"/>
            <w:tcBorders>
              <w:top w:val="nil"/>
              <w:left w:val="nil"/>
              <w:bottom w:val="single" w:color="auto" w:sz="4" w:space="0"/>
              <w:right w:val="single" w:color="auto" w:sz="4" w:space="0"/>
            </w:tcBorders>
            <w:shd w:val="clear" w:color="000000" w:fill="D9D9D9"/>
            <w:noWrap/>
            <w:vAlign w:val="center"/>
          </w:tcPr>
          <w:p>
            <w:pPr>
              <w:widowControl/>
              <w:spacing w:line="240" w:lineRule="auto"/>
              <w:jc w:val="left"/>
              <w:rPr>
                <w:rFonts w:cs="宋体" w:asciiTheme="minorEastAsia" w:hAnsiTheme="minorEastAsia"/>
                <w:b/>
                <w:bCs/>
                <w:color w:val="000000"/>
                <w:kern w:val="0"/>
                <w:sz w:val="21"/>
              </w:rPr>
            </w:pPr>
          </w:p>
        </w:tc>
        <w:tc>
          <w:tcPr>
            <w:tcW w:w="427" w:type="pct"/>
            <w:tcBorders>
              <w:top w:val="nil"/>
              <w:left w:val="nil"/>
              <w:bottom w:val="single" w:color="auto" w:sz="4" w:space="0"/>
              <w:right w:val="single" w:color="auto" w:sz="4" w:space="0"/>
            </w:tcBorders>
            <w:shd w:val="clear" w:color="000000" w:fill="D9D9D9"/>
            <w:noWrap/>
            <w:vAlign w:val="center"/>
          </w:tcPr>
          <w:p>
            <w:pPr>
              <w:widowControl/>
              <w:spacing w:line="240" w:lineRule="auto"/>
              <w:jc w:val="left"/>
              <w:rPr>
                <w:rFonts w:cs="宋体" w:asciiTheme="minorEastAsia" w:hAnsiTheme="minorEastAsia"/>
                <w:b/>
                <w:bCs/>
                <w:color w:val="000000"/>
                <w:kern w:val="0"/>
                <w:sz w:val="21"/>
              </w:rPr>
            </w:pPr>
          </w:p>
        </w:tc>
        <w:tc>
          <w:tcPr>
            <w:tcW w:w="475" w:type="pct"/>
            <w:tcBorders>
              <w:top w:val="nil"/>
              <w:left w:val="nil"/>
              <w:bottom w:val="single" w:color="auto" w:sz="4" w:space="0"/>
              <w:right w:val="single" w:color="auto" w:sz="4" w:space="0"/>
            </w:tcBorders>
            <w:shd w:val="clear" w:color="000000" w:fill="D9D9D9"/>
            <w:noWrap/>
            <w:vAlign w:val="center"/>
          </w:tcPr>
          <w:p>
            <w:pPr>
              <w:widowControl/>
              <w:spacing w:line="240" w:lineRule="auto"/>
              <w:jc w:val="left"/>
              <w:rPr>
                <w:rFonts w:cs="宋体" w:asciiTheme="minorEastAsia" w:hAnsiTheme="minorEastAsia"/>
                <w:b/>
                <w:bCs/>
                <w:color w:val="000000"/>
                <w:kern w:val="0"/>
                <w:sz w:val="21"/>
              </w:rPr>
            </w:pPr>
          </w:p>
        </w:tc>
      </w:tr>
      <w:tr>
        <w:tblPrEx>
          <w:tblCellMar>
            <w:top w:w="0" w:type="dxa"/>
            <w:left w:w="108" w:type="dxa"/>
            <w:bottom w:w="0" w:type="dxa"/>
            <w:right w:w="108" w:type="dxa"/>
          </w:tblCellMar>
        </w:tblPrEx>
        <w:trPr>
          <w:trHeight w:val="270" w:hRule="atLeast"/>
        </w:trPr>
        <w:tc>
          <w:tcPr>
            <w:tcW w:w="530" w:type="pct"/>
            <w:tcBorders>
              <w:top w:val="nil"/>
              <w:left w:val="single" w:color="auto" w:sz="4" w:space="0"/>
              <w:bottom w:val="single" w:color="auto" w:sz="4" w:space="0"/>
              <w:right w:val="single" w:color="auto" w:sz="4" w:space="0"/>
            </w:tcBorders>
            <w:shd w:val="clear" w:color="000000" w:fill="F2F2F2"/>
            <w:noWrap/>
            <w:vAlign w:val="center"/>
          </w:tcPr>
          <w:p>
            <w:pPr>
              <w:widowControl/>
              <w:spacing w:line="240" w:lineRule="auto"/>
              <w:jc w:val="center"/>
              <w:rPr>
                <w:rFonts w:cs="宋体" w:asciiTheme="minorEastAsia" w:hAnsiTheme="minorEastAsia"/>
                <w:b/>
                <w:bCs/>
                <w:color w:val="000000"/>
                <w:kern w:val="0"/>
                <w:sz w:val="21"/>
              </w:rPr>
            </w:pPr>
            <w:r>
              <w:rPr>
                <w:rFonts w:hint="eastAsia" w:cs="宋体" w:asciiTheme="minorEastAsia" w:hAnsiTheme="minorEastAsia"/>
                <w:b/>
                <w:bCs/>
                <w:color w:val="000000"/>
                <w:kern w:val="0"/>
                <w:sz w:val="21"/>
              </w:rPr>
              <w:t>（一）</w:t>
            </w:r>
          </w:p>
        </w:tc>
        <w:tc>
          <w:tcPr>
            <w:tcW w:w="929" w:type="pct"/>
            <w:tcBorders>
              <w:top w:val="nil"/>
              <w:left w:val="nil"/>
              <w:bottom w:val="single" w:color="auto" w:sz="4" w:space="0"/>
              <w:right w:val="single" w:color="auto" w:sz="4" w:space="0"/>
            </w:tcBorders>
            <w:shd w:val="clear" w:color="000000" w:fill="F2F2F2"/>
            <w:noWrap/>
            <w:vAlign w:val="center"/>
          </w:tcPr>
          <w:p>
            <w:pPr>
              <w:widowControl/>
              <w:spacing w:line="240" w:lineRule="auto"/>
              <w:jc w:val="left"/>
              <w:rPr>
                <w:rFonts w:cs="宋体" w:asciiTheme="minorEastAsia" w:hAnsiTheme="minorEastAsia"/>
                <w:b/>
                <w:bCs/>
                <w:color w:val="000000"/>
                <w:kern w:val="0"/>
                <w:sz w:val="21"/>
              </w:rPr>
            </w:pPr>
            <w:r>
              <w:rPr>
                <w:rFonts w:hint="eastAsia" w:cs="宋体" w:asciiTheme="minorEastAsia" w:hAnsiTheme="minorEastAsia"/>
                <w:b/>
                <w:bCs/>
                <w:color w:val="000000"/>
                <w:kern w:val="0"/>
                <w:sz w:val="21"/>
              </w:rPr>
              <w:t>定制软件部分</w:t>
            </w:r>
          </w:p>
        </w:tc>
        <w:tc>
          <w:tcPr>
            <w:tcW w:w="2211" w:type="pct"/>
            <w:tcBorders>
              <w:top w:val="nil"/>
              <w:left w:val="nil"/>
              <w:bottom w:val="single" w:color="auto" w:sz="4" w:space="0"/>
              <w:right w:val="single" w:color="auto" w:sz="4" w:space="0"/>
            </w:tcBorders>
            <w:shd w:val="clear" w:color="000000" w:fill="F2F2F2"/>
            <w:vAlign w:val="center"/>
          </w:tcPr>
          <w:p>
            <w:pPr>
              <w:widowControl/>
              <w:spacing w:line="240" w:lineRule="auto"/>
              <w:jc w:val="left"/>
              <w:rPr>
                <w:rFonts w:cs="宋体" w:asciiTheme="minorEastAsia" w:hAnsiTheme="minorEastAsia"/>
                <w:b/>
                <w:bCs/>
                <w:color w:val="000000"/>
                <w:kern w:val="0"/>
                <w:sz w:val="21"/>
              </w:rPr>
            </w:pPr>
            <w:r>
              <w:rPr>
                <w:rFonts w:hint="eastAsia" w:cs="宋体" w:asciiTheme="minorEastAsia" w:hAnsiTheme="minorEastAsia"/>
                <w:b/>
                <w:bCs/>
                <w:color w:val="000000"/>
                <w:kern w:val="0"/>
                <w:sz w:val="21"/>
              </w:rPr>
              <w:t>　</w:t>
            </w:r>
          </w:p>
        </w:tc>
        <w:tc>
          <w:tcPr>
            <w:tcW w:w="427" w:type="pct"/>
            <w:tcBorders>
              <w:top w:val="nil"/>
              <w:left w:val="nil"/>
              <w:bottom w:val="single" w:color="auto" w:sz="4" w:space="0"/>
              <w:right w:val="single" w:color="auto" w:sz="4" w:space="0"/>
            </w:tcBorders>
            <w:shd w:val="clear" w:color="000000" w:fill="F2F2F2"/>
            <w:noWrap/>
            <w:vAlign w:val="center"/>
          </w:tcPr>
          <w:p>
            <w:pPr>
              <w:widowControl/>
              <w:spacing w:line="240" w:lineRule="auto"/>
              <w:jc w:val="center"/>
              <w:rPr>
                <w:rFonts w:cs="宋体" w:asciiTheme="minorEastAsia" w:hAnsiTheme="minorEastAsia"/>
                <w:b/>
                <w:bCs/>
                <w:color w:val="000000"/>
                <w:kern w:val="0"/>
                <w:sz w:val="21"/>
              </w:rPr>
            </w:pPr>
          </w:p>
        </w:tc>
        <w:tc>
          <w:tcPr>
            <w:tcW w:w="427" w:type="pct"/>
            <w:tcBorders>
              <w:top w:val="nil"/>
              <w:left w:val="nil"/>
              <w:bottom w:val="single" w:color="auto" w:sz="4" w:space="0"/>
              <w:right w:val="single" w:color="auto" w:sz="4" w:space="0"/>
            </w:tcBorders>
            <w:shd w:val="clear" w:color="000000" w:fill="F2F2F2"/>
            <w:noWrap/>
            <w:vAlign w:val="center"/>
          </w:tcPr>
          <w:p>
            <w:pPr>
              <w:widowControl/>
              <w:spacing w:line="240" w:lineRule="auto"/>
              <w:jc w:val="center"/>
              <w:rPr>
                <w:rFonts w:cs="宋体" w:asciiTheme="minorEastAsia" w:hAnsiTheme="minorEastAsia"/>
                <w:b/>
                <w:bCs/>
                <w:color w:val="000000"/>
                <w:kern w:val="0"/>
                <w:sz w:val="21"/>
              </w:rPr>
            </w:pPr>
          </w:p>
        </w:tc>
        <w:tc>
          <w:tcPr>
            <w:tcW w:w="475" w:type="pct"/>
            <w:tcBorders>
              <w:top w:val="nil"/>
              <w:left w:val="nil"/>
              <w:bottom w:val="single" w:color="auto" w:sz="4" w:space="0"/>
              <w:right w:val="single" w:color="auto" w:sz="4" w:space="0"/>
            </w:tcBorders>
            <w:shd w:val="clear" w:color="000000" w:fill="F2F2F2"/>
            <w:noWrap/>
            <w:vAlign w:val="center"/>
          </w:tcPr>
          <w:p>
            <w:pPr>
              <w:widowControl/>
              <w:spacing w:line="240" w:lineRule="auto"/>
              <w:jc w:val="left"/>
              <w:rPr>
                <w:rFonts w:cs="宋体" w:asciiTheme="minorEastAsia" w:hAnsiTheme="minorEastAsia"/>
                <w:b/>
                <w:bCs/>
                <w:color w:val="000000"/>
                <w:kern w:val="0"/>
                <w:sz w:val="21"/>
              </w:rPr>
            </w:pPr>
          </w:p>
        </w:tc>
      </w:tr>
      <w:tr>
        <w:tblPrEx>
          <w:tblCellMar>
            <w:top w:w="0" w:type="dxa"/>
            <w:left w:w="108" w:type="dxa"/>
            <w:bottom w:w="0" w:type="dxa"/>
            <w:right w:w="108" w:type="dxa"/>
          </w:tblCellMar>
        </w:tblPrEx>
        <w:trPr>
          <w:trHeight w:val="2160" w:hRule="atLeast"/>
        </w:trPr>
        <w:tc>
          <w:tcPr>
            <w:tcW w:w="53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宋体" w:asciiTheme="minorEastAsia" w:hAnsiTheme="minorEastAsia"/>
                <w:color w:val="000000"/>
                <w:kern w:val="0"/>
                <w:sz w:val="21"/>
              </w:rPr>
            </w:pPr>
            <w:r>
              <w:rPr>
                <w:rFonts w:hint="eastAsia" w:cs="宋体" w:asciiTheme="minorEastAsia" w:hAnsiTheme="minorEastAsia"/>
                <w:color w:val="000000"/>
                <w:kern w:val="0"/>
                <w:sz w:val="21"/>
              </w:rPr>
              <w:t>1</w:t>
            </w:r>
          </w:p>
        </w:tc>
        <w:tc>
          <w:tcPr>
            <w:tcW w:w="929"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color w:val="000000"/>
                <w:kern w:val="0"/>
                <w:sz w:val="21"/>
              </w:rPr>
            </w:pPr>
            <w:r>
              <w:rPr>
                <w:rFonts w:hint="eastAsia" w:cs="宋体" w:asciiTheme="minorEastAsia" w:hAnsiTheme="minorEastAsia"/>
                <w:color w:val="000000"/>
                <w:kern w:val="0"/>
                <w:sz w:val="21"/>
              </w:rPr>
              <w:t>访客预约小程序</w:t>
            </w:r>
          </w:p>
        </w:tc>
        <w:tc>
          <w:tcPr>
            <w:tcW w:w="2211"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color w:val="000000"/>
                <w:kern w:val="0"/>
                <w:sz w:val="21"/>
              </w:rPr>
            </w:pPr>
            <w:r>
              <w:rPr>
                <w:rFonts w:hint="eastAsia" w:cs="宋体" w:asciiTheme="minorEastAsia" w:hAnsiTheme="minorEastAsia"/>
                <w:color w:val="000000"/>
                <w:kern w:val="0"/>
                <w:sz w:val="21"/>
              </w:rPr>
              <w:t>定制</w:t>
            </w:r>
          </w:p>
          <w:p>
            <w:pPr>
              <w:pStyle w:val="10"/>
              <w:widowControl/>
              <w:numPr>
                <w:ilvl w:val="0"/>
                <w:numId w:val="2"/>
              </w:numPr>
              <w:spacing w:line="240" w:lineRule="auto"/>
              <w:ind w:firstLineChars="0"/>
              <w:jc w:val="center"/>
              <w:rPr>
                <w:rFonts w:cs="宋体" w:asciiTheme="minorEastAsia" w:hAnsiTheme="minorEastAsia"/>
                <w:color w:val="000000"/>
                <w:kern w:val="0"/>
                <w:sz w:val="21"/>
              </w:rPr>
            </w:pPr>
            <w:r>
              <w:rPr>
                <w:rFonts w:hint="eastAsia" w:cs="宋体" w:asciiTheme="minorEastAsia" w:hAnsiTheme="minorEastAsia"/>
                <w:color w:val="000000"/>
                <w:kern w:val="0"/>
                <w:sz w:val="21"/>
              </w:rPr>
              <w:t>在现在的微信小程序主体上完全进行开发</w:t>
            </w:r>
            <w:r>
              <w:rPr>
                <w:rFonts w:hint="eastAsia" w:cs="宋体" w:asciiTheme="minorEastAsia" w:hAnsiTheme="minorEastAsia"/>
                <w:color w:val="000000"/>
                <w:kern w:val="0"/>
                <w:sz w:val="21"/>
              </w:rPr>
              <w:br w:type="textWrapping"/>
            </w:r>
            <w:r>
              <w:rPr>
                <w:rFonts w:hint="eastAsia" w:cs="宋体" w:asciiTheme="minorEastAsia" w:hAnsiTheme="minorEastAsia"/>
                <w:color w:val="000000"/>
                <w:kern w:val="0"/>
                <w:sz w:val="21"/>
              </w:rPr>
              <w:t>满足预约功能</w:t>
            </w:r>
          </w:p>
          <w:p>
            <w:pPr>
              <w:pStyle w:val="10"/>
              <w:widowControl/>
              <w:numPr>
                <w:ilvl w:val="0"/>
                <w:numId w:val="2"/>
              </w:numPr>
              <w:spacing w:line="240" w:lineRule="auto"/>
              <w:ind w:firstLineChars="0"/>
              <w:jc w:val="center"/>
              <w:rPr>
                <w:rFonts w:cs="宋体" w:asciiTheme="minorEastAsia" w:hAnsiTheme="minorEastAsia"/>
                <w:color w:val="000000"/>
                <w:kern w:val="0"/>
                <w:sz w:val="21"/>
              </w:rPr>
            </w:pPr>
            <w:r>
              <w:rPr>
                <w:rFonts w:hint="eastAsia" w:cs="宋体" w:asciiTheme="minorEastAsia" w:hAnsiTheme="minorEastAsia"/>
                <w:color w:val="000000"/>
                <w:kern w:val="0"/>
                <w:sz w:val="21"/>
              </w:rPr>
              <w:t>含微信前置伺服器</w:t>
            </w:r>
          </w:p>
        </w:tc>
        <w:tc>
          <w:tcPr>
            <w:tcW w:w="427"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color w:val="000000"/>
                <w:kern w:val="0"/>
                <w:sz w:val="21"/>
              </w:rPr>
            </w:pPr>
            <w:r>
              <w:rPr>
                <w:rFonts w:hint="eastAsia" w:cs="宋体" w:asciiTheme="minorEastAsia" w:hAnsiTheme="minorEastAsia"/>
                <w:color w:val="000000"/>
                <w:kern w:val="0"/>
                <w:sz w:val="21"/>
              </w:rPr>
              <w:t>套</w:t>
            </w:r>
          </w:p>
        </w:tc>
        <w:tc>
          <w:tcPr>
            <w:tcW w:w="427"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color w:val="000000"/>
                <w:kern w:val="0"/>
                <w:sz w:val="21"/>
              </w:rPr>
            </w:pPr>
            <w:r>
              <w:rPr>
                <w:rFonts w:hint="eastAsia" w:cs="宋体" w:asciiTheme="minorEastAsia" w:hAnsiTheme="minorEastAsia"/>
                <w:color w:val="000000"/>
                <w:kern w:val="0"/>
                <w:sz w:val="21"/>
              </w:rPr>
              <w:t>1</w:t>
            </w:r>
          </w:p>
        </w:tc>
        <w:tc>
          <w:tcPr>
            <w:tcW w:w="475"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asciiTheme="minorEastAsia" w:hAnsiTheme="minorEastAsia"/>
                <w:color w:val="000000"/>
                <w:kern w:val="0"/>
                <w:sz w:val="21"/>
              </w:rPr>
            </w:pPr>
          </w:p>
        </w:tc>
      </w:tr>
      <w:tr>
        <w:tblPrEx>
          <w:tblCellMar>
            <w:top w:w="0" w:type="dxa"/>
            <w:left w:w="108" w:type="dxa"/>
            <w:bottom w:w="0" w:type="dxa"/>
            <w:right w:w="108" w:type="dxa"/>
          </w:tblCellMar>
        </w:tblPrEx>
        <w:trPr>
          <w:trHeight w:val="699" w:hRule="atLeast"/>
        </w:trPr>
        <w:tc>
          <w:tcPr>
            <w:tcW w:w="53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宋体" w:asciiTheme="minorEastAsia" w:hAnsiTheme="minorEastAsia"/>
                <w:color w:val="000000"/>
                <w:kern w:val="0"/>
                <w:sz w:val="21"/>
              </w:rPr>
            </w:pPr>
            <w:r>
              <w:rPr>
                <w:rFonts w:hint="eastAsia" w:cs="宋体" w:asciiTheme="minorEastAsia" w:hAnsiTheme="minorEastAsia"/>
                <w:color w:val="000000"/>
                <w:kern w:val="0"/>
                <w:sz w:val="21"/>
              </w:rPr>
              <w:t>2</w:t>
            </w:r>
          </w:p>
        </w:tc>
        <w:tc>
          <w:tcPr>
            <w:tcW w:w="929"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color w:val="000000"/>
                <w:kern w:val="0"/>
                <w:sz w:val="21"/>
              </w:rPr>
            </w:pPr>
            <w:r>
              <w:rPr>
                <w:rFonts w:hint="eastAsia" w:cs="宋体" w:asciiTheme="minorEastAsia" w:hAnsiTheme="minorEastAsia"/>
                <w:color w:val="000000"/>
                <w:kern w:val="0"/>
                <w:sz w:val="21"/>
              </w:rPr>
              <w:t>i深圳接入</w:t>
            </w:r>
          </w:p>
        </w:tc>
        <w:tc>
          <w:tcPr>
            <w:tcW w:w="2211"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color w:val="000000"/>
                <w:kern w:val="0"/>
                <w:sz w:val="21"/>
              </w:rPr>
            </w:pPr>
            <w:r>
              <w:rPr>
                <w:rFonts w:hint="eastAsia" w:cs="宋体" w:asciiTheme="minorEastAsia" w:hAnsiTheme="minorEastAsia"/>
                <w:color w:val="000000"/>
                <w:kern w:val="0"/>
                <w:sz w:val="21"/>
              </w:rPr>
              <w:t>定制服务</w:t>
            </w:r>
          </w:p>
          <w:p>
            <w:pPr>
              <w:widowControl/>
              <w:spacing w:line="240" w:lineRule="auto"/>
              <w:jc w:val="center"/>
              <w:rPr>
                <w:rFonts w:cs="宋体" w:asciiTheme="minorEastAsia" w:hAnsiTheme="minorEastAsia"/>
                <w:color w:val="000000"/>
                <w:kern w:val="0"/>
                <w:sz w:val="21"/>
              </w:rPr>
            </w:pPr>
            <w:r>
              <w:rPr>
                <w:rFonts w:hint="eastAsia" w:cs="宋体" w:asciiTheme="minorEastAsia" w:hAnsiTheme="minorEastAsia"/>
                <w:color w:val="000000"/>
                <w:kern w:val="0"/>
                <w:sz w:val="21"/>
              </w:rPr>
              <w:t>1、申请开通i深圳开放平台的账号</w:t>
            </w:r>
          </w:p>
          <w:p>
            <w:pPr>
              <w:widowControl/>
              <w:spacing w:line="240" w:lineRule="auto"/>
              <w:jc w:val="center"/>
              <w:rPr>
                <w:rFonts w:cs="宋体" w:asciiTheme="minorEastAsia" w:hAnsiTheme="minorEastAsia"/>
                <w:color w:val="000000"/>
                <w:kern w:val="0"/>
                <w:sz w:val="21"/>
              </w:rPr>
            </w:pPr>
            <w:r>
              <w:rPr>
                <w:rFonts w:hint="eastAsia" w:cs="宋体" w:asciiTheme="minorEastAsia" w:hAnsiTheme="minorEastAsia"/>
                <w:color w:val="000000"/>
                <w:kern w:val="0"/>
                <w:sz w:val="21"/>
              </w:rPr>
              <w:t>2、依据i深圳开放平台进行服务接口对接改造</w:t>
            </w:r>
          </w:p>
          <w:p>
            <w:pPr>
              <w:widowControl/>
              <w:spacing w:line="240" w:lineRule="auto"/>
              <w:jc w:val="center"/>
              <w:rPr>
                <w:rFonts w:cs="宋体" w:asciiTheme="minorEastAsia" w:hAnsiTheme="minorEastAsia"/>
                <w:color w:val="000000"/>
                <w:kern w:val="0"/>
                <w:sz w:val="21"/>
              </w:rPr>
            </w:pPr>
            <w:r>
              <w:rPr>
                <w:rFonts w:hint="eastAsia" w:cs="宋体" w:asciiTheme="minorEastAsia" w:hAnsiTheme="minorEastAsia"/>
                <w:color w:val="000000"/>
                <w:kern w:val="0"/>
                <w:sz w:val="21"/>
              </w:rPr>
              <w:t>3、“一次了”网上申报上线</w:t>
            </w:r>
          </w:p>
        </w:tc>
        <w:tc>
          <w:tcPr>
            <w:tcW w:w="427"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color w:val="000000"/>
                <w:kern w:val="0"/>
                <w:sz w:val="21"/>
              </w:rPr>
            </w:pPr>
            <w:r>
              <w:rPr>
                <w:rFonts w:hint="eastAsia" w:cs="宋体" w:asciiTheme="minorEastAsia" w:hAnsiTheme="minorEastAsia"/>
                <w:color w:val="000000"/>
                <w:kern w:val="0"/>
                <w:sz w:val="21"/>
              </w:rPr>
              <w:t>套</w:t>
            </w:r>
          </w:p>
        </w:tc>
        <w:tc>
          <w:tcPr>
            <w:tcW w:w="427"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color w:val="000000"/>
                <w:kern w:val="0"/>
                <w:sz w:val="21"/>
              </w:rPr>
            </w:pPr>
            <w:r>
              <w:rPr>
                <w:rFonts w:hint="eastAsia" w:cs="宋体" w:asciiTheme="minorEastAsia" w:hAnsiTheme="minorEastAsia"/>
                <w:color w:val="000000"/>
                <w:kern w:val="0"/>
                <w:sz w:val="21"/>
              </w:rPr>
              <w:t>1</w:t>
            </w:r>
          </w:p>
        </w:tc>
        <w:tc>
          <w:tcPr>
            <w:tcW w:w="475"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asciiTheme="minorEastAsia" w:hAnsiTheme="minorEastAsia"/>
                <w:color w:val="000000"/>
                <w:kern w:val="0"/>
                <w:sz w:val="21"/>
              </w:rPr>
            </w:pPr>
          </w:p>
        </w:tc>
      </w:tr>
      <w:tr>
        <w:tblPrEx>
          <w:tblCellMar>
            <w:top w:w="0" w:type="dxa"/>
            <w:left w:w="108" w:type="dxa"/>
            <w:bottom w:w="0" w:type="dxa"/>
            <w:right w:w="108" w:type="dxa"/>
          </w:tblCellMar>
        </w:tblPrEx>
        <w:trPr>
          <w:trHeight w:val="1243" w:hRule="atLeast"/>
        </w:trPr>
        <w:tc>
          <w:tcPr>
            <w:tcW w:w="53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宋体" w:asciiTheme="minorEastAsia" w:hAnsiTheme="minorEastAsia"/>
                <w:color w:val="000000"/>
                <w:kern w:val="0"/>
                <w:sz w:val="21"/>
              </w:rPr>
            </w:pPr>
            <w:r>
              <w:rPr>
                <w:rFonts w:hint="eastAsia" w:cs="宋体" w:asciiTheme="minorEastAsia" w:hAnsiTheme="minorEastAsia"/>
                <w:color w:val="000000"/>
                <w:kern w:val="0"/>
                <w:sz w:val="21"/>
              </w:rPr>
              <w:t>3</w:t>
            </w:r>
          </w:p>
        </w:tc>
        <w:tc>
          <w:tcPr>
            <w:tcW w:w="929"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color w:val="000000"/>
                <w:kern w:val="0"/>
                <w:sz w:val="21"/>
              </w:rPr>
            </w:pPr>
            <w:r>
              <w:rPr>
                <w:rFonts w:hint="eastAsia" w:cs="宋体" w:asciiTheme="minorEastAsia" w:hAnsiTheme="minorEastAsia"/>
                <w:color w:val="000000"/>
                <w:kern w:val="0"/>
                <w:sz w:val="21"/>
              </w:rPr>
              <w:t>等保测评</w:t>
            </w:r>
          </w:p>
        </w:tc>
        <w:tc>
          <w:tcPr>
            <w:tcW w:w="2211"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color w:val="000000"/>
                <w:kern w:val="0"/>
                <w:sz w:val="21"/>
              </w:rPr>
            </w:pPr>
            <w:r>
              <w:rPr>
                <w:rFonts w:hint="eastAsia" w:cs="宋体" w:asciiTheme="minorEastAsia" w:hAnsiTheme="minorEastAsia"/>
                <w:color w:val="000000"/>
                <w:kern w:val="0"/>
                <w:sz w:val="21"/>
              </w:rPr>
              <w:t>1、该费用为代缴费用，费用为政数局指定的测评机构收取</w:t>
            </w:r>
            <w:r>
              <w:rPr>
                <w:rFonts w:hint="eastAsia" w:cs="宋体" w:asciiTheme="minorEastAsia" w:hAnsiTheme="minorEastAsia"/>
                <w:color w:val="000000"/>
                <w:kern w:val="0"/>
                <w:sz w:val="21"/>
              </w:rPr>
              <w:br w:type="textWrapping"/>
            </w:r>
            <w:r>
              <w:rPr>
                <w:rFonts w:hint="eastAsia" w:cs="宋体" w:asciiTheme="minorEastAsia" w:hAnsiTheme="minorEastAsia"/>
                <w:color w:val="000000"/>
                <w:kern w:val="0"/>
                <w:sz w:val="21"/>
              </w:rPr>
              <w:t>2、如本年度区里面已经有合作的测评机构，无需单独给费用的话，结算时候将扣除此项费用</w:t>
            </w:r>
          </w:p>
        </w:tc>
        <w:tc>
          <w:tcPr>
            <w:tcW w:w="427"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color w:val="000000"/>
                <w:kern w:val="0"/>
                <w:sz w:val="21"/>
              </w:rPr>
            </w:pPr>
            <w:r>
              <w:rPr>
                <w:rFonts w:hint="eastAsia" w:cs="宋体" w:asciiTheme="minorEastAsia" w:hAnsiTheme="minorEastAsia"/>
                <w:color w:val="000000"/>
                <w:kern w:val="0"/>
                <w:sz w:val="21"/>
              </w:rPr>
              <w:t>套</w:t>
            </w:r>
          </w:p>
        </w:tc>
        <w:tc>
          <w:tcPr>
            <w:tcW w:w="427"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color w:val="000000"/>
                <w:kern w:val="0"/>
                <w:sz w:val="21"/>
              </w:rPr>
            </w:pPr>
            <w:r>
              <w:rPr>
                <w:rFonts w:hint="eastAsia" w:cs="宋体" w:asciiTheme="minorEastAsia" w:hAnsiTheme="minorEastAsia"/>
                <w:color w:val="000000"/>
                <w:kern w:val="0"/>
                <w:sz w:val="21"/>
              </w:rPr>
              <w:t>1</w:t>
            </w:r>
          </w:p>
        </w:tc>
        <w:tc>
          <w:tcPr>
            <w:tcW w:w="475"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asciiTheme="minorEastAsia" w:hAnsiTheme="minorEastAsia"/>
                <w:color w:val="000000"/>
                <w:kern w:val="0"/>
                <w:sz w:val="21"/>
              </w:rPr>
            </w:pPr>
          </w:p>
        </w:tc>
      </w:tr>
      <w:tr>
        <w:tblPrEx>
          <w:tblCellMar>
            <w:top w:w="0" w:type="dxa"/>
            <w:left w:w="108" w:type="dxa"/>
            <w:bottom w:w="0" w:type="dxa"/>
            <w:right w:w="108" w:type="dxa"/>
          </w:tblCellMar>
        </w:tblPrEx>
        <w:trPr>
          <w:trHeight w:val="270" w:hRule="atLeast"/>
        </w:trPr>
        <w:tc>
          <w:tcPr>
            <w:tcW w:w="530" w:type="pct"/>
            <w:tcBorders>
              <w:top w:val="nil"/>
              <w:left w:val="single" w:color="auto" w:sz="4" w:space="0"/>
              <w:bottom w:val="single" w:color="auto" w:sz="4" w:space="0"/>
              <w:right w:val="single" w:color="auto" w:sz="4" w:space="0"/>
            </w:tcBorders>
            <w:shd w:val="clear" w:color="000000" w:fill="F2F2F2"/>
            <w:noWrap/>
            <w:vAlign w:val="center"/>
          </w:tcPr>
          <w:p>
            <w:pPr>
              <w:widowControl/>
              <w:spacing w:line="240" w:lineRule="auto"/>
              <w:jc w:val="center"/>
              <w:rPr>
                <w:rFonts w:cs="宋体" w:asciiTheme="minorEastAsia" w:hAnsiTheme="minorEastAsia"/>
                <w:b/>
                <w:bCs/>
                <w:color w:val="000000"/>
                <w:kern w:val="0"/>
                <w:sz w:val="21"/>
              </w:rPr>
            </w:pPr>
            <w:r>
              <w:rPr>
                <w:rFonts w:hint="eastAsia" w:cs="宋体" w:asciiTheme="minorEastAsia" w:hAnsiTheme="minorEastAsia"/>
                <w:b/>
                <w:bCs/>
                <w:color w:val="000000"/>
                <w:kern w:val="0"/>
                <w:sz w:val="21"/>
              </w:rPr>
              <w:t>（二）</w:t>
            </w:r>
          </w:p>
        </w:tc>
        <w:tc>
          <w:tcPr>
            <w:tcW w:w="929" w:type="pct"/>
            <w:tcBorders>
              <w:top w:val="nil"/>
              <w:left w:val="nil"/>
              <w:bottom w:val="single" w:color="auto" w:sz="4" w:space="0"/>
              <w:right w:val="single" w:color="auto" w:sz="4" w:space="0"/>
            </w:tcBorders>
            <w:shd w:val="clear" w:color="000000" w:fill="F2F2F2"/>
            <w:noWrap/>
            <w:vAlign w:val="center"/>
          </w:tcPr>
          <w:p>
            <w:pPr>
              <w:widowControl/>
              <w:spacing w:line="240" w:lineRule="auto"/>
              <w:jc w:val="left"/>
              <w:rPr>
                <w:rFonts w:cs="宋体" w:asciiTheme="minorEastAsia" w:hAnsiTheme="minorEastAsia"/>
                <w:b/>
                <w:bCs/>
                <w:color w:val="000000"/>
                <w:kern w:val="0"/>
                <w:sz w:val="21"/>
              </w:rPr>
            </w:pPr>
            <w:r>
              <w:rPr>
                <w:rFonts w:hint="eastAsia" w:cs="宋体" w:asciiTheme="minorEastAsia" w:hAnsiTheme="minorEastAsia"/>
                <w:b/>
                <w:bCs/>
                <w:color w:val="000000"/>
                <w:kern w:val="0"/>
                <w:sz w:val="21"/>
              </w:rPr>
              <w:t>通行闸机系统</w:t>
            </w:r>
          </w:p>
        </w:tc>
        <w:tc>
          <w:tcPr>
            <w:tcW w:w="2211" w:type="pct"/>
            <w:tcBorders>
              <w:top w:val="nil"/>
              <w:left w:val="nil"/>
              <w:bottom w:val="single" w:color="auto" w:sz="4" w:space="0"/>
              <w:right w:val="single" w:color="auto" w:sz="4" w:space="0"/>
            </w:tcBorders>
            <w:shd w:val="clear" w:color="000000" w:fill="F2F2F2"/>
            <w:vAlign w:val="center"/>
          </w:tcPr>
          <w:p>
            <w:pPr>
              <w:widowControl/>
              <w:spacing w:line="240" w:lineRule="auto"/>
              <w:jc w:val="left"/>
              <w:rPr>
                <w:rFonts w:cs="宋体" w:asciiTheme="minorEastAsia" w:hAnsiTheme="minorEastAsia"/>
                <w:b/>
                <w:bCs/>
                <w:color w:val="000000"/>
                <w:kern w:val="0"/>
                <w:sz w:val="21"/>
              </w:rPr>
            </w:pPr>
            <w:r>
              <w:rPr>
                <w:rFonts w:hint="eastAsia" w:cs="宋体" w:asciiTheme="minorEastAsia" w:hAnsiTheme="minorEastAsia"/>
                <w:b/>
                <w:bCs/>
                <w:color w:val="000000"/>
                <w:kern w:val="0"/>
                <w:sz w:val="21"/>
              </w:rPr>
              <w:t>　</w:t>
            </w:r>
          </w:p>
        </w:tc>
        <w:tc>
          <w:tcPr>
            <w:tcW w:w="427" w:type="pct"/>
            <w:tcBorders>
              <w:top w:val="nil"/>
              <w:left w:val="nil"/>
              <w:bottom w:val="single" w:color="auto" w:sz="4" w:space="0"/>
              <w:right w:val="single" w:color="auto" w:sz="4" w:space="0"/>
            </w:tcBorders>
            <w:shd w:val="clear" w:color="000000" w:fill="F2F2F2"/>
            <w:noWrap/>
            <w:vAlign w:val="center"/>
          </w:tcPr>
          <w:p>
            <w:pPr>
              <w:widowControl/>
              <w:spacing w:line="240" w:lineRule="auto"/>
              <w:jc w:val="center"/>
              <w:rPr>
                <w:rFonts w:cs="宋体" w:asciiTheme="minorEastAsia" w:hAnsiTheme="minorEastAsia"/>
                <w:b/>
                <w:bCs/>
                <w:color w:val="000000"/>
                <w:kern w:val="0"/>
                <w:sz w:val="21"/>
              </w:rPr>
            </w:pPr>
            <w:r>
              <w:rPr>
                <w:rFonts w:hint="eastAsia" w:cs="宋体" w:asciiTheme="minorEastAsia" w:hAnsiTheme="minorEastAsia"/>
                <w:b/>
                <w:bCs/>
                <w:color w:val="000000"/>
                <w:kern w:val="0"/>
                <w:sz w:val="21"/>
              </w:rPr>
              <w:t>　</w:t>
            </w:r>
          </w:p>
        </w:tc>
        <w:tc>
          <w:tcPr>
            <w:tcW w:w="427" w:type="pct"/>
            <w:tcBorders>
              <w:top w:val="nil"/>
              <w:left w:val="nil"/>
              <w:bottom w:val="single" w:color="auto" w:sz="4" w:space="0"/>
              <w:right w:val="single" w:color="auto" w:sz="4" w:space="0"/>
            </w:tcBorders>
            <w:shd w:val="clear" w:color="000000" w:fill="F2F2F2"/>
            <w:noWrap/>
            <w:vAlign w:val="center"/>
          </w:tcPr>
          <w:p>
            <w:pPr>
              <w:widowControl/>
              <w:spacing w:line="240" w:lineRule="auto"/>
              <w:jc w:val="center"/>
              <w:rPr>
                <w:rFonts w:cs="宋体" w:asciiTheme="minorEastAsia" w:hAnsiTheme="minorEastAsia"/>
                <w:b/>
                <w:bCs/>
                <w:color w:val="000000"/>
                <w:kern w:val="0"/>
                <w:sz w:val="21"/>
              </w:rPr>
            </w:pPr>
            <w:r>
              <w:rPr>
                <w:rFonts w:hint="eastAsia" w:cs="宋体" w:asciiTheme="minorEastAsia" w:hAnsiTheme="minorEastAsia"/>
                <w:b/>
                <w:bCs/>
                <w:color w:val="000000"/>
                <w:kern w:val="0"/>
                <w:sz w:val="21"/>
              </w:rPr>
              <w:t>　</w:t>
            </w:r>
          </w:p>
        </w:tc>
        <w:tc>
          <w:tcPr>
            <w:tcW w:w="475" w:type="pct"/>
            <w:tcBorders>
              <w:top w:val="nil"/>
              <w:left w:val="nil"/>
              <w:bottom w:val="single" w:color="auto" w:sz="4" w:space="0"/>
              <w:right w:val="single" w:color="auto" w:sz="4" w:space="0"/>
            </w:tcBorders>
            <w:shd w:val="clear" w:color="000000" w:fill="F2F2F2"/>
            <w:noWrap/>
            <w:vAlign w:val="center"/>
          </w:tcPr>
          <w:p>
            <w:pPr>
              <w:widowControl/>
              <w:spacing w:line="240" w:lineRule="auto"/>
              <w:jc w:val="left"/>
              <w:rPr>
                <w:rFonts w:cs="宋体" w:asciiTheme="minorEastAsia" w:hAnsiTheme="minorEastAsia"/>
                <w:b/>
                <w:bCs/>
                <w:color w:val="000000"/>
                <w:kern w:val="0"/>
                <w:sz w:val="21"/>
              </w:rPr>
            </w:pPr>
            <w:r>
              <w:rPr>
                <w:rFonts w:hint="eastAsia" w:cs="宋体" w:asciiTheme="minorEastAsia" w:hAnsiTheme="minorEastAsia"/>
                <w:b/>
                <w:bCs/>
                <w:color w:val="000000"/>
                <w:kern w:val="0"/>
                <w:sz w:val="21"/>
              </w:rPr>
              <w:t>　</w:t>
            </w:r>
          </w:p>
        </w:tc>
      </w:tr>
      <w:tr>
        <w:tblPrEx>
          <w:tblCellMar>
            <w:top w:w="0" w:type="dxa"/>
            <w:left w:w="108" w:type="dxa"/>
            <w:bottom w:w="0" w:type="dxa"/>
            <w:right w:w="108" w:type="dxa"/>
          </w:tblCellMar>
        </w:tblPrEx>
        <w:trPr>
          <w:trHeight w:val="270" w:hRule="atLeast"/>
        </w:trPr>
        <w:tc>
          <w:tcPr>
            <w:tcW w:w="53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宋体" w:asciiTheme="minorEastAsia" w:hAnsiTheme="minorEastAsia"/>
                <w:color w:val="000000"/>
                <w:kern w:val="0"/>
                <w:sz w:val="21"/>
              </w:rPr>
            </w:pPr>
            <w:r>
              <w:rPr>
                <w:rFonts w:hint="eastAsia" w:cs="宋体" w:asciiTheme="minorEastAsia" w:hAnsiTheme="minorEastAsia"/>
                <w:color w:val="000000"/>
                <w:kern w:val="0"/>
                <w:sz w:val="21"/>
              </w:rPr>
              <w:t>1</w:t>
            </w:r>
          </w:p>
        </w:tc>
        <w:tc>
          <w:tcPr>
            <w:tcW w:w="929"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color w:val="000000"/>
                <w:kern w:val="0"/>
                <w:sz w:val="21"/>
              </w:rPr>
            </w:pPr>
            <w:r>
              <w:rPr>
                <w:rFonts w:hint="eastAsia" w:cs="宋体" w:asciiTheme="minorEastAsia" w:hAnsiTheme="minorEastAsia"/>
                <w:color w:val="000000"/>
                <w:kern w:val="0"/>
                <w:sz w:val="21"/>
              </w:rPr>
              <w:t>预约核验终端（嵌入式）</w:t>
            </w:r>
          </w:p>
        </w:tc>
        <w:tc>
          <w:tcPr>
            <w:tcW w:w="2211"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color w:val="000000"/>
                <w:kern w:val="0"/>
                <w:sz w:val="21"/>
              </w:rPr>
            </w:pPr>
            <w:r>
              <w:rPr>
                <w:rFonts w:hint="eastAsia" w:cs="宋体" w:asciiTheme="minorEastAsia" w:hAnsiTheme="minorEastAsia"/>
                <w:color w:val="000000"/>
                <w:kern w:val="0"/>
                <w:sz w:val="21"/>
              </w:rPr>
              <w:t>参见技术要求</w:t>
            </w:r>
          </w:p>
        </w:tc>
        <w:tc>
          <w:tcPr>
            <w:tcW w:w="427"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color w:val="000000"/>
                <w:kern w:val="0"/>
                <w:sz w:val="21"/>
              </w:rPr>
            </w:pPr>
            <w:r>
              <w:rPr>
                <w:rFonts w:hint="eastAsia" w:cs="宋体" w:asciiTheme="minorEastAsia" w:hAnsiTheme="minorEastAsia"/>
                <w:color w:val="000000"/>
                <w:kern w:val="0"/>
                <w:sz w:val="21"/>
              </w:rPr>
              <w:t>套</w:t>
            </w:r>
          </w:p>
        </w:tc>
        <w:tc>
          <w:tcPr>
            <w:tcW w:w="427"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color w:val="000000"/>
                <w:kern w:val="0"/>
                <w:sz w:val="21"/>
              </w:rPr>
            </w:pPr>
            <w:r>
              <w:rPr>
                <w:rFonts w:hint="eastAsia" w:cs="宋体" w:asciiTheme="minorEastAsia" w:hAnsiTheme="minorEastAsia"/>
                <w:color w:val="000000"/>
                <w:kern w:val="0"/>
                <w:sz w:val="21"/>
              </w:rPr>
              <w:t>5</w:t>
            </w:r>
          </w:p>
        </w:tc>
        <w:tc>
          <w:tcPr>
            <w:tcW w:w="47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宋体" w:asciiTheme="minorEastAsia" w:hAnsiTheme="minorEastAsia"/>
                <w:color w:val="000000"/>
                <w:kern w:val="0"/>
                <w:sz w:val="21"/>
              </w:rPr>
            </w:pPr>
            <w:r>
              <w:rPr>
                <w:rFonts w:hint="eastAsia" w:cs="宋体" w:asciiTheme="minorEastAsia" w:hAnsiTheme="minorEastAsia"/>
                <w:color w:val="000000"/>
                <w:kern w:val="0"/>
                <w:sz w:val="21"/>
              </w:rPr>
              <w:t>　</w:t>
            </w:r>
          </w:p>
        </w:tc>
      </w:tr>
      <w:tr>
        <w:tblPrEx>
          <w:tblCellMar>
            <w:top w:w="0" w:type="dxa"/>
            <w:left w:w="108" w:type="dxa"/>
            <w:bottom w:w="0" w:type="dxa"/>
            <w:right w:w="108" w:type="dxa"/>
          </w:tblCellMar>
        </w:tblPrEx>
        <w:trPr>
          <w:trHeight w:val="3240" w:hRule="atLeast"/>
        </w:trPr>
        <w:tc>
          <w:tcPr>
            <w:tcW w:w="53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宋体" w:asciiTheme="minorEastAsia" w:hAnsiTheme="minorEastAsia"/>
                <w:color w:val="000000"/>
                <w:kern w:val="0"/>
                <w:sz w:val="21"/>
              </w:rPr>
            </w:pPr>
            <w:r>
              <w:rPr>
                <w:rFonts w:hint="eastAsia" w:cs="宋体" w:asciiTheme="minorEastAsia" w:hAnsiTheme="minorEastAsia"/>
                <w:color w:val="000000"/>
                <w:kern w:val="0"/>
                <w:sz w:val="21"/>
              </w:rPr>
              <w:t>2</w:t>
            </w:r>
          </w:p>
        </w:tc>
        <w:tc>
          <w:tcPr>
            <w:tcW w:w="929"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color w:val="000000"/>
                <w:kern w:val="0"/>
                <w:sz w:val="21"/>
              </w:rPr>
            </w:pPr>
            <w:r>
              <w:rPr>
                <w:rFonts w:hint="eastAsia" w:cs="宋体" w:asciiTheme="minorEastAsia" w:hAnsiTheme="minorEastAsia"/>
                <w:color w:val="000000"/>
                <w:kern w:val="0"/>
                <w:sz w:val="21"/>
              </w:rPr>
              <w:t>速通门（单机芯）</w:t>
            </w:r>
          </w:p>
        </w:tc>
        <w:tc>
          <w:tcPr>
            <w:tcW w:w="2211"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color w:val="000000"/>
                <w:kern w:val="0"/>
                <w:sz w:val="21"/>
              </w:rPr>
            </w:pPr>
            <w:r>
              <w:rPr>
                <w:rFonts w:hint="eastAsia" w:cs="宋体" w:asciiTheme="minorEastAsia" w:hAnsiTheme="minorEastAsia"/>
                <w:color w:val="000000"/>
                <w:kern w:val="0"/>
                <w:sz w:val="21"/>
              </w:rPr>
              <w:t>参见技术要求</w:t>
            </w:r>
          </w:p>
          <w:p>
            <w:pPr>
              <w:widowControl/>
              <w:spacing w:line="240" w:lineRule="auto"/>
              <w:jc w:val="center"/>
              <w:rPr>
                <w:rFonts w:cs="宋体" w:asciiTheme="minorEastAsia" w:hAnsiTheme="minorEastAsia"/>
                <w:color w:val="000000"/>
                <w:kern w:val="0"/>
                <w:sz w:val="21"/>
              </w:rPr>
            </w:pPr>
            <w:r>
              <w:rPr>
                <w:rFonts w:hint="eastAsia" w:cs="宋体" w:asciiTheme="minorEastAsia" w:hAnsiTheme="minorEastAsia"/>
                <w:color w:val="000000"/>
                <w:kern w:val="0"/>
                <w:sz w:val="21"/>
              </w:rPr>
              <w:t>1、正门两个单通道，一进一出（4台单机芯）</w:t>
            </w:r>
            <w:r>
              <w:rPr>
                <w:rFonts w:hint="eastAsia" w:cs="宋体" w:asciiTheme="minorEastAsia" w:hAnsiTheme="minorEastAsia"/>
                <w:color w:val="000000"/>
                <w:kern w:val="0"/>
                <w:sz w:val="21"/>
              </w:rPr>
              <w:br w:type="textWrapping"/>
            </w:r>
            <w:r>
              <w:rPr>
                <w:rFonts w:hint="eastAsia" w:cs="宋体" w:asciiTheme="minorEastAsia" w:hAnsiTheme="minorEastAsia"/>
                <w:color w:val="000000"/>
                <w:kern w:val="0"/>
                <w:sz w:val="21"/>
              </w:rPr>
              <w:t>2、4D影院入口1个通道（2台单机芯），出口1个通道（2台单机芯）</w:t>
            </w:r>
            <w:r>
              <w:rPr>
                <w:rFonts w:hint="eastAsia" w:cs="宋体" w:asciiTheme="minorEastAsia" w:hAnsiTheme="minorEastAsia"/>
                <w:color w:val="000000"/>
                <w:kern w:val="0"/>
                <w:sz w:val="21"/>
              </w:rPr>
              <w:br w:type="textWrapping"/>
            </w:r>
            <w:r>
              <w:rPr>
                <w:rFonts w:hint="eastAsia" w:cs="宋体" w:asciiTheme="minorEastAsia" w:hAnsiTheme="minorEastAsia"/>
                <w:color w:val="000000"/>
                <w:kern w:val="0"/>
                <w:sz w:val="21"/>
              </w:rPr>
              <w:t>3、球幕入口1个单通道（2台单机芯）</w:t>
            </w:r>
          </w:p>
        </w:tc>
        <w:tc>
          <w:tcPr>
            <w:tcW w:w="427"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color w:val="000000"/>
                <w:kern w:val="0"/>
                <w:sz w:val="21"/>
              </w:rPr>
            </w:pPr>
            <w:r>
              <w:rPr>
                <w:rFonts w:hint="eastAsia" w:cs="宋体" w:asciiTheme="minorEastAsia" w:hAnsiTheme="minorEastAsia"/>
                <w:color w:val="000000"/>
                <w:kern w:val="0"/>
                <w:sz w:val="21"/>
              </w:rPr>
              <w:t>台</w:t>
            </w:r>
          </w:p>
        </w:tc>
        <w:tc>
          <w:tcPr>
            <w:tcW w:w="427"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color w:val="000000"/>
                <w:kern w:val="0"/>
                <w:sz w:val="21"/>
              </w:rPr>
            </w:pPr>
            <w:r>
              <w:rPr>
                <w:rFonts w:hint="eastAsia" w:cs="宋体" w:asciiTheme="minorEastAsia" w:hAnsiTheme="minorEastAsia"/>
                <w:color w:val="000000"/>
                <w:kern w:val="0"/>
                <w:sz w:val="21"/>
              </w:rPr>
              <w:t>10</w:t>
            </w:r>
          </w:p>
        </w:tc>
        <w:tc>
          <w:tcPr>
            <w:tcW w:w="475"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asciiTheme="minorEastAsia" w:hAnsiTheme="minorEastAsia"/>
                <w:color w:val="000000"/>
                <w:kern w:val="0"/>
                <w:sz w:val="21"/>
              </w:rPr>
            </w:pPr>
          </w:p>
        </w:tc>
      </w:tr>
      <w:tr>
        <w:tblPrEx>
          <w:tblCellMar>
            <w:top w:w="0" w:type="dxa"/>
            <w:left w:w="108" w:type="dxa"/>
            <w:bottom w:w="0" w:type="dxa"/>
            <w:right w:w="108" w:type="dxa"/>
          </w:tblCellMar>
        </w:tblPrEx>
        <w:trPr>
          <w:trHeight w:val="270" w:hRule="atLeast"/>
        </w:trPr>
        <w:tc>
          <w:tcPr>
            <w:tcW w:w="53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宋体" w:asciiTheme="minorEastAsia" w:hAnsiTheme="minorEastAsia"/>
                <w:color w:val="000000"/>
                <w:kern w:val="0"/>
                <w:sz w:val="21"/>
              </w:rPr>
            </w:pPr>
            <w:r>
              <w:rPr>
                <w:rFonts w:hint="eastAsia" w:cs="宋体" w:asciiTheme="minorEastAsia" w:hAnsiTheme="minorEastAsia"/>
                <w:color w:val="000000"/>
                <w:kern w:val="0"/>
                <w:sz w:val="21"/>
              </w:rPr>
              <w:t>4</w:t>
            </w:r>
          </w:p>
        </w:tc>
        <w:tc>
          <w:tcPr>
            <w:tcW w:w="929"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color w:val="000000"/>
                <w:kern w:val="0"/>
                <w:sz w:val="21"/>
              </w:rPr>
            </w:pPr>
            <w:r>
              <w:rPr>
                <w:rFonts w:hint="eastAsia" w:cs="宋体" w:asciiTheme="minorEastAsia" w:hAnsiTheme="minorEastAsia"/>
                <w:color w:val="000000"/>
                <w:kern w:val="0"/>
                <w:sz w:val="21"/>
              </w:rPr>
              <w:t>闸机平台管理软件</w:t>
            </w:r>
          </w:p>
        </w:tc>
        <w:tc>
          <w:tcPr>
            <w:tcW w:w="2211"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color w:val="000000"/>
                <w:kern w:val="0"/>
                <w:sz w:val="21"/>
              </w:rPr>
            </w:pPr>
            <w:r>
              <w:rPr>
                <w:rFonts w:hint="eastAsia" w:cs="宋体" w:asciiTheme="minorEastAsia" w:hAnsiTheme="minorEastAsia"/>
                <w:color w:val="000000"/>
                <w:kern w:val="0"/>
                <w:sz w:val="21"/>
              </w:rPr>
              <w:t>参见技术要求</w:t>
            </w:r>
          </w:p>
        </w:tc>
        <w:tc>
          <w:tcPr>
            <w:tcW w:w="427"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color w:val="000000"/>
                <w:kern w:val="0"/>
                <w:sz w:val="21"/>
              </w:rPr>
            </w:pPr>
            <w:r>
              <w:rPr>
                <w:rFonts w:hint="eastAsia" w:cs="宋体" w:asciiTheme="minorEastAsia" w:hAnsiTheme="minorEastAsia"/>
                <w:color w:val="000000"/>
                <w:kern w:val="0"/>
                <w:sz w:val="21"/>
              </w:rPr>
              <w:t>套</w:t>
            </w:r>
          </w:p>
        </w:tc>
        <w:tc>
          <w:tcPr>
            <w:tcW w:w="427"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color w:val="000000"/>
                <w:kern w:val="0"/>
                <w:sz w:val="21"/>
              </w:rPr>
            </w:pPr>
            <w:r>
              <w:rPr>
                <w:rFonts w:hint="eastAsia" w:cs="宋体" w:asciiTheme="minorEastAsia" w:hAnsiTheme="minorEastAsia"/>
                <w:color w:val="000000"/>
                <w:kern w:val="0"/>
                <w:sz w:val="21"/>
              </w:rPr>
              <w:t>1</w:t>
            </w:r>
          </w:p>
        </w:tc>
        <w:tc>
          <w:tcPr>
            <w:tcW w:w="47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宋体" w:asciiTheme="minorEastAsia" w:hAnsiTheme="minorEastAsia"/>
                <w:color w:val="000000"/>
                <w:kern w:val="0"/>
                <w:sz w:val="21"/>
              </w:rPr>
            </w:pPr>
            <w:r>
              <w:rPr>
                <w:rFonts w:hint="eastAsia" w:cs="宋体" w:asciiTheme="minorEastAsia" w:hAnsiTheme="minorEastAsia"/>
                <w:color w:val="000000"/>
                <w:kern w:val="0"/>
                <w:sz w:val="21"/>
              </w:rPr>
              <w:t>　</w:t>
            </w:r>
          </w:p>
        </w:tc>
      </w:tr>
      <w:tr>
        <w:tblPrEx>
          <w:tblCellMar>
            <w:top w:w="0" w:type="dxa"/>
            <w:left w:w="108" w:type="dxa"/>
            <w:bottom w:w="0" w:type="dxa"/>
            <w:right w:w="108" w:type="dxa"/>
          </w:tblCellMar>
        </w:tblPrEx>
        <w:trPr>
          <w:trHeight w:val="270" w:hRule="atLeast"/>
        </w:trPr>
        <w:tc>
          <w:tcPr>
            <w:tcW w:w="53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宋体" w:asciiTheme="minorEastAsia" w:hAnsiTheme="minorEastAsia"/>
                <w:color w:val="000000"/>
                <w:kern w:val="0"/>
                <w:sz w:val="21"/>
              </w:rPr>
            </w:pPr>
            <w:r>
              <w:rPr>
                <w:rFonts w:hint="eastAsia" w:cs="宋体" w:asciiTheme="minorEastAsia" w:hAnsiTheme="minorEastAsia"/>
                <w:color w:val="000000"/>
                <w:kern w:val="0"/>
                <w:sz w:val="21"/>
              </w:rPr>
              <w:t>5</w:t>
            </w:r>
          </w:p>
        </w:tc>
        <w:tc>
          <w:tcPr>
            <w:tcW w:w="929"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color w:val="000000"/>
                <w:kern w:val="0"/>
                <w:sz w:val="21"/>
              </w:rPr>
            </w:pPr>
            <w:r>
              <w:rPr>
                <w:rFonts w:hint="eastAsia" w:cs="宋体" w:asciiTheme="minorEastAsia" w:hAnsiTheme="minorEastAsia"/>
                <w:color w:val="000000"/>
                <w:kern w:val="0"/>
                <w:sz w:val="21"/>
              </w:rPr>
              <w:t>玻璃围栏</w:t>
            </w:r>
          </w:p>
        </w:tc>
        <w:tc>
          <w:tcPr>
            <w:tcW w:w="2211"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color w:val="000000"/>
                <w:kern w:val="0"/>
                <w:sz w:val="21"/>
              </w:rPr>
            </w:pPr>
            <w:r>
              <w:rPr>
                <w:rFonts w:hint="eastAsia" w:cs="宋体" w:asciiTheme="minorEastAsia" w:hAnsiTheme="minorEastAsia"/>
                <w:color w:val="000000"/>
                <w:kern w:val="0"/>
                <w:sz w:val="21"/>
              </w:rPr>
              <w:t>定制</w:t>
            </w:r>
          </w:p>
        </w:tc>
        <w:tc>
          <w:tcPr>
            <w:tcW w:w="427"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color w:val="000000"/>
                <w:kern w:val="0"/>
                <w:sz w:val="21"/>
              </w:rPr>
            </w:pPr>
            <w:r>
              <w:rPr>
                <w:rFonts w:hint="eastAsia" w:cs="宋体" w:asciiTheme="minorEastAsia" w:hAnsiTheme="minorEastAsia"/>
                <w:color w:val="000000"/>
                <w:kern w:val="0"/>
                <w:sz w:val="21"/>
              </w:rPr>
              <w:t>平方米</w:t>
            </w:r>
          </w:p>
        </w:tc>
        <w:tc>
          <w:tcPr>
            <w:tcW w:w="427"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color w:val="000000"/>
                <w:kern w:val="0"/>
                <w:sz w:val="21"/>
              </w:rPr>
            </w:pPr>
            <w:r>
              <w:rPr>
                <w:rFonts w:hint="eastAsia" w:cs="宋体" w:asciiTheme="minorEastAsia" w:hAnsiTheme="minorEastAsia"/>
                <w:color w:val="000000"/>
                <w:kern w:val="0"/>
                <w:sz w:val="21"/>
              </w:rPr>
              <w:t>10</w:t>
            </w:r>
          </w:p>
        </w:tc>
        <w:tc>
          <w:tcPr>
            <w:tcW w:w="47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宋体" w:asciiTheme="minorEastAsia" w:hAnsiTheme="minorEastAsia"/>
                <w:color w:val="000000"/>
                <w:kern w:val="0"/>
                <w:sz w:val="21"/>
              </w:rPr>
            </w:pPr>
            <w:r>
              <w:rPr>
                <w:rFonts w:hint="eastAsia" w:cs="宋体" w:asciiTheme="minorEastAsia" w:hAnsiTheme="minorEastAsia"/>
                <w:color w:val="000000"/>
                <w:kern w:val="0"/>
                <w:sz w:val="21"/>
              </w:rPr>
              <w:t>　</w:t>
            </w:r>
          </w:p>
        </w:tc>
      </w:tr>
      <w:tr>
        <w:tblPrEx>
          <w:tblCellMar>
            <w:top w:w="0" w:type="dxa"/>
            <w:left w:w="108" w:type="dxa"/>
            <w:bottom w:w="0" w:type="dxa"/>
            <w:right w:w="108" w:type="dxa"/>
          </w:tblCellMar>
        </w:tblPrEx>
        <w:trPr>
          <w:trHeight w:val="270" w:hRule="atLeast"/>
        </w:trPr>
        <w:tc>
          <w:tcPr>
            <w:tcW w:w="53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宋体" w:asciiTheme="minorEastAsia" w:hAnsiTheme="minorEastAsia"/>
                <w:color w:val="000000"/>
                <w:kern w:val="0"/>
                <w:sz w:val="21"/>
              </w:rPr>
            </w:pPr>
            <w:r>
              <w:rPr>
                <w:rFonts w:hint="eastAsia" w:cs="宋体" w:asciiTheme="minorEastAsia" w:hAnsiTheme="minorEastAsia"/>
                <w:color w:val="000000"/>
                <w:kern w:val="0"/>
                <w:sz w:val="21"/>
              </w:rPr>
              <w:t>6</w:t>
            </w:r>
          </w:p>
        </w:tc>
        <w:tc>
          <w:tcPr>
            <w:tcW w:w="929"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color w:val="000000"/>
                <w:kern w:val="0"/>
                <w:sz w:val="21"/>
              </w:rPr>
            </w:pPr>
            <w:r>
              <w:rPr>
                <w:rFonts w:hint="eastAsia" w:cs="宋体" w:asciiTheme="minorEastAsia" w:hAnsiTheme="minorEastAsia"/>
                <w:color w:val="000000"/>
                <w:kern w:val="0"/>
                <w:sz w:val="21"/>
              </w:rPr>
              <w:t>辅材</w:t>
            </w:r>
          </w:p>
        </w:tc>
        <w:tc>
          <w:tcPr>
            <w:tcW w:w="2211"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color w:val="000000"/>
                <w:kern w:val="0"/>
                <w:sz w:val="21"/>
              </w:rPr>
            </w:pPr>
            <w:r>
              <w:rPr>
                <w:rFonts w:hint="eastAsia" w:cs="宋体" w:asciiTheme="minorEastAsia" w:hAnsiTheme="minorEastAsia"/>
                <w:color w:val="000000"/>
                <w:kern w:val="0"/>
                <w:sz w:val="21"/>
              </w:rPr>
              <w:t>含电源线、线管、信号线、网线、扎带等</w:t>
            </w:r>
          </w:p>
        </w:tc>
        <w:tc>
          <w:tcPr>
            <w:tcW w:w="427"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color w:val="000000"/>
                <w:kern w:val="0"/>
                <w:sz w:val="21"/>
              </w:rPr>
            </w:pPr>
            <w:r>
              <w:rPr>
                <w:rFonts w:hint="eastAsia" w:cs="宋体" w:asciiTheme="minorEastAsia" w:hAnsiTheme="minorEastAsia"/>
                <w:color w:val="000000"/>
                <w:kern w:val="0"/>
                <w:sz w:val="21"/>
              </w:rPr>
              <w:t>批</w:t>
            </w:r>
          </w:p>
        </w:tc>
        <w:tc>
          <w:tcPr>
            <w:tcW w:w="427"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asciiTheme="minorEastAsia" w:hAnsiTheme="minorEastAsia"/>
                <w:color w:val="000000"/>
                <w:kern w:val="0"/>
                <w:sz w:val="21"/>
              </w:rPr>
            </w:pPr>
            <w:r>
              <w:rPr>
                <w:rFonts w:hint="eastAsia" w:cs="宋体" w:asciiTheme="minorEastAsia" w:hAnsiTheme="minorEastAsia"/>
                <w:color w:val="000000"/>
                <w:kern w:val="0"/>
                <w:sz w:val="21"/>
              </w:rPr>
              <w:t>1</w:t>
            </w:r>
          </w:p>
        </w:tc>
        <w:tc>
          <w:tcPr>
            <w:tcW w:w="47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宋体" w:asciiTheme="minorEastAsia" w:hAnsiTheme="minorEastAsia"/>
                <w:color w:val="000000"/>
                <w:kern w:val="0"/>
                <w:sz w:val="21"/>
              </w:rPr>
            </w:pPr>
            <w:r>
              <w:rPr>
                <w:rFonts w:hint="eastAsia" w:cs="宋体" w:asciiTheme="minorEastAsia" w:hAnsiTheme="minorEastAsia"/>
                <w:color w:val="000000"/>
                <w:kern w:val="0"/>
                <w:sz w:val="21"/>
              </w:rPr>
              <w:t>　</w:t>
            </w:r>
          </w:p>
        </w:tc>
      </w:tr>
    </w:tbl>
    <w:p/>
    <w:p>
      <w:pPr>
        <w:pStyle w:val="3"/>
      </w:pPr>
      <w:r>
        <w:rPr>
          <w:rFonts w:hint="eastAsia"/>
        </w:rPr>
        <w:t>年度运维服务</w:t>
      </w:r>
    </w:p>
    <w:p>
      <w:pPr>
        <w:pStyle w:val="10"/>
        <w:ind w:firstLine="480"/>
      </w:pPr>
      <w:r>
        <w:rPr>
          <w:rFonts w:hint="eastAsia"/>
        </w:rPr>
        <w:t>需要专业</w:t>
      </w:r>
      <w:r>
        <w:t>运维团队提供</w:t>
      </w:r>
      <w:r>
        <w:rPr>
          <w:rFonts w:hint="eastAsia"/>
        </w:rPr>
        <w:t>智慧科技馆中的软件平台与集成</w:t>
      </w:r>
      <w:r>
        <w:t>平台</w:t>
      </w:r>
      <w:r>
        <w:rPr>
          <w:rFonts w:hint="eastAsia"/>
        </w:rPr>
        <w:t>相关功能正常运行的</w:t>
      </w:r>
      <w:r>
        <w:t>保障服务</w:t>
      </w:r>
      <w:r>
        <w:rPr>
          <w:rFonts w:hint="eastAsia"/>
        </w:rPr>
        <w:t>。主要需要</w:t>
      </w:r>
      <w:r>
        <w:t>保障的</w:t>
      </w:r>
      <w:r>
        <w:rPr>
          <w:rFonts w:hint="eastAsia"/>
        </w:rPr>
        <w:t>设备</w:t>
      </w:r>
      <w:r>
        <w:t>及系统如下表：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544"/>
        <w:gridCol w:w="1518"/>
        <w:gridCol w:w="723"/>
        <w:gridCol w:w="729"/>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24" w:type="pct"/>
            <w:shd w:val="clear" w:color="000000" w:fill="70AD47"/>
            <w:vAlign w:val="center"/>
          </w:tcPr>
          <w:p>
            <w:pPr>
              <w:spacing w:line="240" w:lineRule="auto"/>
              <w:rPr>
                <w:rFonts w:asciiTheme="minorEastAsia" w:hAnsiTheme="minorEastAsia"/>
                <w:sz w:val="21"/>
              </w:rPr>
            </w:pPr>
            <w:r>
              <w:rPr>
                <w:rFonts w:hint="eastAsia" w:asciiTheme="minorEastAsia" w:hAnsiTheme="minorEastAsia"/>
                <w:sz w:val="21"/>
              </w:rPr>
              <w:t>序号</w:t>
            </w:r>
          </w:p>
        </w:tc>
        <w:tc>
          <w:tcPr>
            <w:tcW w:w="906" w:type="pct"/>
            <w:shd w:val="clear" w:color="000000" w:fill="70AD47"/>
            <w:vAlign w:val="center"/>
          </w:tcPr>
          <w:p>
            <w:pPr>
              <w:spacing w:line="240" w:lineRule="auto"/>
              <w:rPr>
                <w:rFonts w:asciiTheme="minorEastAsia" w:hAnsiTheme="minorEastAsia"/>
                <w:sz w:val="21"/>
              </w:rPr>
            </w:pPr>
            <w:r>
              <w:rPr>
                <w:rFonts w:hint="eastAsia" w:asciiTheme="minorEastAsia" w:hAnsiTheme="minorEastAsia"/>
                <w:sz w:val="21"/>
              </w:rPr>
              <w:t>设备</w:t>
            </w:r>
          </w:p>
        </w:tc>
        <w:tc>
          <w:tcPr>
            <w:tcW w:w="891" w:type="pct"/>
            <w:shd w:val="clear" w:color="000000" w:fill="70AD47"/>
            <w:vAlign w:val="center"/>
          </w:tcPr>
          <w:p>
            <w:pPr>
              <w:spacing w:line="240" w:lineRule="auto"/>
              <w:rPr>
                <w:rFonts w:asciiTheme="minorEastAsia" w:hAnsiTheme="minorEastAsia"/>
                <w:sz w:val="21"/>
              </w:rPr>
            </w:pPr>
            <w:r>
              <w:rPr>
                <w:rFonts w:hint="eastAsia" w:asciiTheme="minorEastAsia" w:hAnsiTheme="minorEastAsia"/>
                <w:sz w:val="21"/>
              </w:rPr>
              <w:t>原</w:t>
            </w:r>
            <w:r>
              <w:rPr>
                <w:rFonts w:asciiTheme="minorEastAsia" w:hAnsiTheme="minorEastAsia"/>
                <w:sz w:val="21"/>
              </w:rPr>
              <w:t>产品</w:t>
            </w:r>
          </w:p>
        </w:tc>
        <w:tc>
          <w:tcPr>
            <w:tcW w:w="424" w:type="pct"/>
            <w:shd w:val="clear" w:color="000000" w:fill="70AD47"/>
            <w:vAlign w:val="center"/>
          </w:tcPr>
          <w:p>
            <w:pPr>
              <w:spacing w:line="240" w:lineRule="auto"/>
              <w:rPr>
                <w:rFonts w:asciiTheme="minorEastAsia" w:hAnsiTheme="minorEastAsia"/>
                <w:sz w:val="21"/>
              </w:rPr>
            </w:pPr>
            <w:r>
              <w:rPr>
                <w:rFonts w:hint="eastAsia" w:asciiTheme="minorEastAsia" w:hAnsiTheme="minorEastAsia"/>
                <w:sz w:val="21"/>
              </w:rPr>
              <w:t>单位</w:t>
            </w:r>
          </w:p>
        </w:tc>
        <w:tc>
          <w:tcPr>
            <w:tcW w:w="428" w:type="pct"/>
            <w:shd w:val="clear" w:color="000000" w:fill="70AD47"/>
            <w:vAlign w:val="center"/>
          </w:tcPr>
          <w:p>
            <w:pPr>
              <w:spacing w:line="240" w:lineRule="auto"/>
              <w:rPr>
                <w:rFonts w:asciiTheme="minorEastAsia" w:hAnsiTheme="minorEastAsia"/>
                <w:sz w:val="21"/>
              </w:rPr>
            </w:pPr>
            <w:r>
              <w:rPr>
                <w:rFonts w:hint="eastAsia" w:asciiTheme="minorEastAsia" w:hAnsiTheme="minorEastAsia"/>
                <w:sz w:val="21"/>
              </w:rPr>
              <w:t>数量</w:t>
            </w:r>
          </w:p>
        </w:tc>
        <w:tc>
          <w:tcPr>
            <w:tcW w:w="1927" w:type="pct"/>
            <w:shd w:val="clear" w:color="000000" w:fill="70AD47"/>
            <w:vAlign w:val="center"/>
          </w:tcPr>
          <w:p>
            <w:pPr>
              <w:spacing w:line="240" w:lineRule="auto"/>
              <w:rPr>
                <w:rFonts w:asciiTheme="minorEastAsia" w:hAnsiTheme="minorEastAsia"/>
                <w:sz w:val="21"/>
              </w:rPr>
            </w:pPr>
            <w:r>
              <w:rPr>
                <w:rFonts w:hint="eastAsia" w:asciiTheme="minorEastAsia" w:hAnsiTheme="minorEastAsia"/>
                <w:sz w:val="21"/>
              </w:rPr>
              <w:t>运维服务内容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73" w:type="pct"/>
            <w:gridSpan w:val="5"/>
            <w:shd w:val="clear" w:color="000000" w:fill="FFE699"/>
            <w:noWrap/>
            <w:vAlign w:val="center"/>
          </w:tcPr>
          <w:p>
            <w:pPr>
              <w:spacing w:line="240" w:lineRule="auto"/>
              <w:rPr>
                <w:rFonts w:asciiTheme="minorEastAsia" w:hAnsiTheme="minorEastAsia"/>
                <w:sz w:val="21"/>
              </w:rPr>
            </w:pPr>
            <w:r>
              <w:rPr>
                <w:rFonts w:hint="eastAsia" w:asciiTheme="minorEastAsia" w:hAnsiTheme="minorEastAsia"/>
                <w:sz w:val="21"/>
              </w:rPr>
              <w:t>一、前端监控镜头</w:t>
            </w:r>
          </w:p>
        </w:tc>
        <w:tc>
          <w:tcPr>
            <w:tcW w:w="1927" w:type="pct"/>
            <w:shd w:val="clear" w:color="000000" w:fill="FFE699"/>
            <w:vAlign w:val="center"/>
          </w:tcPr>
          <w:p>
            <w:pPr>
              <w:spacing w:line="240" w:lineRule="auto"/>
              <w:rPr>
                <w:rFonts w:asciiTheme="minorEastAsia" w:hAnsiTheme="minorEastAsia"/>
                <w:sz w:val="21"/>
              </w:rPr>
            </w:pPr>
            <w:r>
              <w:rPr>
                <w:rFonts w:hint="eastAsia" w:asciiTheme="minorEastAsia" w:hAnsiTheme="minor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4" w:type="pct"/>
            <w:shd w:val="clear" w:color="auto" w:fill="auto"/>
            <w:vAlign w:val="center"/>
          </w:tcPr>
          <w:p>
            <w:pPr>
              <w:spacing w:line="240" w:lineRule="auto"/>
              <w:rPr>
                <w:rFonts w:asciiTheme="minorEastAsia" w:hAnsiTheme="minorEastAsia"/>
                <w:sz w:val="21"/>
              </w:rPr>
            </w:pPr>
            <w:bookmarkStart w:id="0" w:name="OLE_LINK61"/>
            <w:bookmarkStart w:id="1" w:name="OLE_LINK60"/>
            <w:r>
              <w:rPr>
                <w:rFonts w:hint="eastAsia" w:asciiTheme="minorEastAsia" w:hAnsiTheme="minorEastAsia"/>
                <w:sz w:val="21"/>
              </w:rPr>
              <w:t>1</w:t>
            </w:r>
          </w:p>
        </w:tc>
        <w:tc>
          <w:tcPr>
            <w:tcW w:w="906"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红外半球（室内、外）</w:t>
            </w:r>
          </w:p>
        </w:tc>
        <w:tc>
          <w:tcPr>
            <w:tcW w:w="891"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海康威视DS-2CD5126FWD-IZ</w:t>
            </w:r>
          </w:p>
        </w:tc>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台</w:t>
            </w:r>
          </w:p>
        </w:tc>
        <w:tc>
          <w:tcPr>
            <w:tcW w:w="428"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51</w:t>
            </w:r>
          </w:p>
        </w:tc>
        <w:tc>
          <w:tcPr>
            <w:tcW w:w="1927" w:type="pct"/>
            <w:vMerge w:val="restar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1、摄像机：含摄像机、护罩、镜头、电源和支架及其他套设施等；</w:t>
            </w:r>
            <w:r>
              <w:rPr>
                <w:rFonts w:hint="eastAsia" w:asciiTheme="minorEastAsia" w:hAnsiTheme="minorEastAsia"/>
                <w:sz w:val="21"/>
              </w:rPr>
              <w:br w:type="textWrapping"/>
            </w:r>
            <w:r>
              <w:rPr>
                <w:rFonts w:hint="eastAsia" w:asciiTheme="minorEastAsia" w:hAnsiTheme="minorEastAsia"/>
                <w:sz w:val="21"/>
              </w:rPr>
              <w:t>2、立杆：含杆体、配套横臂、立杆基础、标识牌及其他配套设施等；</w:t>
            </w:r>
            <w:r>
              <w:rPr>
                <w:rFonts w:hint="eastAsia" w:asciiTheme="minorEastAsia" w:hAnsiTheme="minorEastAsia"/>
                <w:sz w:val="21"/>
              </w:rPr>
              <w:br w:type="textWrapping"/>
            </w:r>
            <w:r>
              <w:rPr>
                <w:rFonts w:hint="eastAsia" w:asciiTheme="minorEastAsia" w:hAnsiTheme="minorEastAsia"/>
                <w:sz w:val="21"/>
              </w:rPr>
              <w:t>3、设备箱：含设备箱箱体、频闪灯、警示灯及其他配套设施等；</w:t>
            </w:r>
            <w:r>
              <w:rPr>
                <w:rFonts w:hint="eastAsia" w:asciiTheme="minorEastAsia" w:hAnsiTheme="minorEastAsia"/>
                <w:sz w:val="21"/>
              </w:rPr>
              <w:br w:type="textWrapping"/>
            </w:r>
            <w:r>
              <w:rPr>
                <w:rFonts w:hint="eastAsia" w:asciiTheme="minorEastAsia" w:hAnsiTheme="minorEastAsia"/>
                <w:sz w:val="21"/>
              </w:rPr>
              <w:t>4、前端供配电系统：含配电箱、电源线及其他配套设施等；</w:t>
            </w:r>
            <w:r>
              <w:rPr>
                <w:rFonts w:hint="eastAsia" w:asciiTheme="minorEastAsia" w:hAnsiTheme="minorEastAsia"/>
                <w:sz w:val="21"/>
              </w:rPr>
              <w:br w:type="textWrapping"/>
            </w:r>
            <w:r>
              <w:rPr>
                <w:rFonts w:hint="eastAsia" w:asciiTheme="minorEastAsia" w:hAnsiTheme="minorEastAsia"/>
                <w:sz w:val="21"/>
              </w:rPr>
              <w:t>5、防雷接地系统：含接地体、接地线及配套设施等；</w:t>
            </w:r>
            <w:r>
              <w:rPr>
                <w:rFonts w:hint="eastAsia" w:asciiTheme="minorEastAsia" w:hAnsiTheme="minorEastAsia"/>
                <w:sz w:val="21"/>
              </w:rPr>
              <w:br w:type="textWrapping"/>
            </w:r>
            <w:r>
              <w:rPr>
                <w:rFonts w:hint="eastAsia" w:asciiTheme="minorEastAsia" w:hAnsiTheme="minorEastAsia"/>
                <w:sz w:val="21"/>
              </w:rPr>
              <w:t>6、工业级交换机：工业级交换机及配套设施等。</w:t>
            </w:r>
            <w:r>
              <w:rPr>
                <w:rFonts w:hint="eastAsia" w:asciiTheme="minorEastAsia" w:hAnsiTheme="minorEastAsia"/>
                <w:sz w:val="21"/>
              </w:rPr>
              <w:br w:type="textWrapping"/>
            </w:r>
            <w:r>
              <w:rPr>
                <w:rFonts w:hint="eastAsia" w:asciiTheme="minorEastAsia" w:hAnsiTheme="minorEastAsia"/>
                <w:sz w:val="21"/>
              </w:rPr>
              <w:t>7、</w:t>
            </w:r>
            <w:r>
              <w:rPr>
                <w:rFonts w:hint="eastAsia" w:asciiTheme="minorEastAsia" w:hAnsiTheme="minorEastAsia"/>
                <w:color w:val="FF0000"/>
                <w:sz w:val="21"/>
              </w:rPr>
              <w:t>其中2022年11月新建的13台摄像机具备1年质保，由原服务商提供维修服务至2023年11月。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2</w:t>
            </w:r>
          </w:p>
        </w:tc>
        <w:tc>
          <w:tcPr>
            <w:tcW w:w="906"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红外枪机（室内、外）</w:t>
            </w:r>
          </w:p>
        </w:tc>
        <w:tc>
          <w:tcPr>
            <w:tcW w:w="891"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海康威视DS-2CD5A26FWD-IZS</w:t>
            </w:r>
          </w:p>
        </w:tc>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台</w:t>
            </w:r>
          </w:p>
        </w:tc>
        <w:tc>
          <w:tcPr>
            <w:tcW w:w="428"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61+13</w:t>
            </w:r>
          </w:p>
        </w:tc>
        <w:tc>
          <w:tcPr>
            <w:tcW w:w="1927" w:type="pct"/>
            <w:vMerge w:val="continue"/>
            <w:vAlign w:val="center"/>
          </w:tcPr>
          <w:p>
            <w:pPr>
              <w:spacing w:line="240" w:lineRule="auto"/>
              <w:rPr>
                <w:rFonts w:asciiTheme="minorEastAsia" w:hAnsiTheme="minor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3</w:t>
            </w:r>
          </w:p>
        </w:tc>
        <w:tc>
          <w:tcPr>
            <w:tcW w:w="906"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室内半球（大）</w:t>
            </w:r>
          </w:p>
        </w:tc>
        <w:tc>
          <w:tcPr>
            <w:tcW w:w="891"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海康威视DS-2CD8426FWD-I</w:t>
            </w:r>
          </w:p>
        </w:tc>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台</w:t>
            </w:r>
          </w:p>
        </w:tc>
        <w:tc>
          <w:tcPr>
            <w:tcW w:w="428"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2</w:t>
            </w:r>
          </w:p>
        </w:tc>
        <w:tc>
          <w:tcPr>
            <w:tcW w:w="1927" w:type="pct"/>
            <w:vMerge w:val="continue"/>
            <w:vAlign w:val="center"/>
          </w:tcPr>
          <w:p>
            <w:pPr>
              <w:spacing w:line="240" w:lineRule="auto"/>
              <w:rPr>
                <w:rFonts w:asciiTheme="minorEastAsia" w:hAnsiTheme="minor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4</w:t>
            </w:r>
          </w:p>
        </w:tc>
        <w:tc>
          <w:tcPr>
            <w:tcW w:w="906"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室外球机</w:t>
            </w:r>
          </w:p>
        </w:tc>
        <w:tc>
          <w:tcPr>
            <w:tcW w:w="891"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海康威视DS-2DF8225IH-A</w:t>
            </w:r>
          </w:p>
        </w:tc>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台</w:t>
            </w:r>
          </w:p>
        </w:tc>
        <w:tc>
          <w:tcPr>
            <w:tcW w:w="428"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4</w:t>
            </w:r>
          </w:p>
        </w:tc>
        <w:tc>
          <w:tcPr>
            <w:tcW w:w="1927" w:type="pct"/>
            <w:vMerge w:val="continue"/>
            <w:vAlign w:val="center"/>
          </w:tcPr>
          <w:p>
            <w:pPr>
              <w:spacing w:line="240" w:lineRule="auto"/>
              <w:rPr>
                <w:rFonts w:asciiTheme="minorEastAsia" w:hAnsiTheme="minor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5</w:t>
            </w:r>
          </w:p>
        </w:tc>
        <w:tc>
          <w:tcPr>
            <w:tcW w:w="906"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球机</w:t>
            </w:r>
          </w:p>
        </w:tc>
        <w:tc>
          <w:tcPr>
            <w:tcW w:w="891"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海康威视DS-2CD7A26FWD-IZ(S)</w:t>
            </w:r>
          </w:p>
        </w:tc>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台</w:t>
            </w:r>
          </w:p>
        </w:tc>
        <w:tc>
          <w:tcPr>
            <w:tcW w:w="428"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5</w:t>
            </w:r>
          </w:p>
        </w:tc>
        <w:tc>
          <w:tcPr>
            <w:tcW w:w="1927" w:type="pct"/>
            <w:vMerge w:val="continue"/>
            <w:vAlign w:val="center"/>
          </w:tcPr>
          <w:p>
            <w:pPr>
              <w:spacing w:line="240" w:lineRule="auto"/>
              <w:rPr>
                <w:rFonts w:asciiTheme="minorEastAsia" w:hAnsiTheme="minor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6</w:t>
            </w:r>
          </w:p>
        </w:tc>
        <w:tc>
          <w:tcPr>
            <w:tcW w:w="906"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电梯半球</w:t>
            </w:r>
          </w:p>
        </w:tc>
        <w:tc>
          <w:tcPr>
            <w:tcW w:w="891"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海康威视DS-2CD2525F-IS</w:t>
            </w:r>
          </w:p>
        </w:tc>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台</w:t>
            </w:r>
          </w:p>
        </w:tc>
        <w:tc>
          <w:tcPr>
            <w:tcW w:w="428"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4</w:t>
            </w:r>
          </w:p>
        </w:tc>
        <w:tc>
          <w:tcPr>
            <w:tcW w:w="1927" w:type="pct"/>
            <w:vMerge w:val="continue"/>
            <w:vAlign w:val="center"/>
          </w:tcPr>
          <w:p>
            <w:pPr>
              <w:spacing w:line="240" w:lineRule="auto"/>
              <w:rPr>
                <w:rFonts w:asciiTheme="minorEastAsia" w:hAnsiTheme="minor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7</w:t>
            </w:r>
          </w:p>
        </w:tc>
        <w:tc>
          <w:tcPr>
            <w:tcW w:w="906"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流量统计摄像机</w:t>
            </w:r>
          </w:p>
        </w:tc>
        <w:tc>
          <w:tcPr>
            <w:tcW w:w="891"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海康威视iDS-2CD6810F/C</w:t>
            </w:r>
          </w:p>
        </w:tc>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台</w:t>
            </w:r>
          </w:p>
        </w:tc>
        <w:tc>
          <w:tcPr>
            <w:tcW w:w="428"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4</w:t>
            </w:r>
          </w:p>
        </w:tc>
        <w:tc>
          <w:tcPr>
            <w:tcW w:w="1927" w:type="pct"/>
            <w:vMerge w:val="continue"/>
            <w:vAlign w:val="center"/>
          </w:tcPr>
          <w:p>
            <w:pPr>
              <w:spacing w:line="240" w:lineRule="auto"/>
              <w:rPr>
                <w:rFonts w:asciiTheme="minorEastAsia" w:hAnsiTheme="minorEastAsia"/>
                <w:sz w:val="21"/>
              </w:rPr>
            </w:pPr>
          </w:p>
        </w:tc>
      </w:tr>
      <w:bookmarkEnd w:id="0"/>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73" w:type="pct"/>
            <w:gridSpan w:val="5"/>
            <w:shd w:val="clear" w:color="000000" w:fill="FFE699"/>
            <w:noWrap/>
            <w:vAlign w:val="center"/>
          </w:tcPr>
          <w:p>
            <w:pPr>
              <w:spacing w:line="240" w:lineRule="auto"/>
              <w:rPr>
                <w:rFonts w:asciiTheme="minorEastAsia" w:hAnsiTheme="minorEastAsia"/>
                <w:sz w:val="21"/>
              </w:rPr>
            </w:pPr>
            <w:r>
              <w:rPr>
                <w:rFonts w:hint="eastAsia" w:asciiTheme="minorEastAsia" w:hAnsiTheme="minorEastAsia"/>
                <w:sz w:val="21"/>
              </w:rPr>
              <w:t>二、大屏幕显示、控制部分</w:t>
            </w:r>
          </w:p>
        </w:tc>
        <w:tc>
          <w:tcPr>
            <w:tcW w:w="1927" w:type="pct"/>
            <w:shd w:val="clear" w:color="000000" w:fill="FFE699"/>
            <w:vAlign w:val="center"/>
          </w:tcPr>
          <w:p>
            <w:pPr>
              <w:spacing w:line="240" w:lineRule="auto"/>
              <w:rPr>
                <w:rFonts w:asciiTheme="minorEastAsia" w:hAnsiTheme="minorEastAsia"/>
                <w:sz w:val="21"/>
              </w:rPr>
            </w:pPr>
            <w:r>
              <w:rPr>
                <w:rFonts w:hint="eastAsia" w:asciiTheme="minorEastAsia" w:hAnsiTheme="minor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4" w:type="pct"/>
            <w:vMerge w:val="restar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1</w:t>
            </w:r>
          </w:p>
        </w:tc>
        <w:tc>
          <w:tcPr>
            <w:tcW w:w="906" w:type="pct"/>
            <w:vMerge w:val="restar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拼接显示屏</w:t>
            </w:r>
          </w:p>
        </w:tc>
        <w:tc>
          <w:tcPr>
            <w:tcW w:w="891" w:type="pct"/>
            <w:vMerge w:val="restar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海康威视DS-D2046NL-B</w:t>
            </w:r>
          </w:p>
        </w:tc>
        <w:tc>
          <w:tcPr>
            <w:tcW w:w="424" w:type="pct"/>
            <w:vMerge w:val="restar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块</w:t>
            </w:r>
          </w:p>
        </w:tc>
        <w:tc>
          <w:tcPr>
            <w:tcW w:w="428" w:type="pct"/>
            <w:vMerge w:val="restar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6</w:t>
            </w:r>
          </w:p>
        </w:tc>
        <w:tc>
          <w:tcPr>
            <w:tcW w:w="1927" w:type="pct"/>
            <w:vMerge w:val="restar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1、窄边屏幕，含屏体、支架、连接件</w:t>
            </w:r>
          </w:p>
          <w:p>
            <w:pPr>
              <w:spacing w:line="240" w:lineRule="auto"/>
              <w:rPr>
                <w:rFonts w:asciiTheme="minorEastAsia" w:hAnsiTheme="minorEastAsia"/>
                <w:sz w:val="21"/>
              </w:rPr>
            </w:pPr>
            <w:r>
              <w:rPr>
                <w:rFonts w:hint="eastAsia" w:asciiTheme="minorEastAsia" w:hAnsiTheme="minorEastAsia"/>
                <w:sz w:val="21"/>
              </w:rPr>
              <w:t>2、线缆，含网线、控制线、HDMI线缆及标识</w:t>
            </w:r>
          </w:p>
          <w:p>
            <w:pPr>
              <w:spacing w:line="240" w:lineRule="auto"/>
              <w:rPr>
                <w:rFonts w:asciiTheme="minorEastAsia" w:hAnsiTheme="minorEastAsia"/>
                <w:sz w:val="21"/>
              </w:rPr>
            </w:pPr>
            <w:r>
              <w:rPr>
                <w:rFonts w:hint="eastAsia" w:asciiTheme="minorEastAsia" w:hAnsiTheme="minorEastAsia"/>
                <w:sz w:val="21"/>
              </w:rPr>
              <w:t>3、电源：含线缆本身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4" w:type="pct"/>
            <w:vMerge w:val="continue"/>
            <w:vAlign w:val="center"/>
          </w:tcPr>
          <w:p>
            <w:pPr>
              <w:spacing w:line="240" w:lineRule="auto"/>
              <w:rPr>
                <w:rFonts w:asciiTheme="minorEastAsia" w:hAnsiTheme="minorEastAsia"/>
                <w:sz w:val="21"/>
              </w:rPr>
            </w:pPr>
          </w:p>
        </w:tc>
        <w:tc>
          <w:tcPr>
            <w:tcW w:w="906" w:type="pct"/>
            <w:vMerge w:val="continue"/>
            <w:vAlign w:val="center"/>
          </w:tcPr>
          <w:p>
            <w:pPr>
              <w:spacing w:line="240" w:lineRule="auto"/>
              <w:rPr>
                <w:rFonts w:asciiTheme="minorEastAsia" w:hAnsiTheme="minorEastAsia"/>
                <w:sz w:val="21"/>
              </w:rPr>
            </w:pPr>
          </w:p>
        </w:tc>
        <w:tc>
          <w:tcPr>
            <w:tcW w:w="891" w:type="pct"/>
            <w:vMerge w:val="continue"/>
            <w:vAlign w:val="center"/>
          </w:tcPr>
          <w:p>
            <w:pPr>
              <w:spacing w:line="240" w:lineRule="auto"/>
              <w:rPr>
                <w:rFonts w:asciiTheme="minorEastAsia" w:hAnsiTheme="minorEastAsia"/>
                <w:sz w:val="21"/>
              </w:rPr>
            </w:pPr>
          </w:p>
        </w:tc>
        <w:tc>
          <w:tcPr>
            <w:tcW w:w="424" w:type="pct"/>
            <w:vMerge w:val="continue"/>
            <w:vAlign w:val="center"/>
          </w:tcPr>
          <w:p>
            <w:pPr>
              <w:spacing w:line="240" w:lineRule="auto"/>
              <w:rPr>
                <w:rFonts w:asciiTheme="minorEastAsia" w:hAnsiTheme="minorEastAsia"/>
                <w:sz w:val="21"/>
              </w:rPr>
            </w:pPr>
          </w:p>
        </w:tc>
        <w:tc>
          <w:tcPr>
            <w:tcW w:w="428" w:type="pct"/>
            <w:vMerge w:val="continue"/>
            <w:vAlign w:val="center"/>
          </w:tcPr>
          <w:p>
            <w:pPr>
              <w:spacing w:line="240" w:lineRule="auto"/>
              <w:rPr>
                <w:rFonts w:asciiTheme="minorEastAsia" w:hAnsiTheme="minorEastAsia"/>
                <w:sz w:val="21"/>
              </w:rPr>
            </w:pPr>
          </w:p>
        </w:tc>
        <w:tc>
          <w:tcPr>
            <w:tcW w:w="1927" w:type="pct"/>
            <w:vMerge w:val="continue"/>
            <w:vAlign w:val="center"/>
          </w:tcPr>
          <w:p>
            <w:pPr>
              <w:spacing w:line="240" w:lineRule="auto"/>
              <w:rPr>
                <w:rFonts w:asciiTheme="minorEastAsia" w:hAnsiTheme="minor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4" w:type="pct"/>
            <w:vMerge w:val="continue"/>
            <w:vAlign w:val="center"/>
          </w:tcPr>
          <w:p>
            <w:pPr>
              <w:spacing w:line="240" w:lineRule="auto"/>
              <w:rPr>
                <w:rFonts w:asciiTheme="minorEastAsia" w:hAnsiTheme="minorEastAsia"/>
                <w:sz w:val="21"/>
              </w:rPr>
            </w:pPr>
          </w:p>
        </w:tc>
        <w:tc>
          <w:tcPr>
            <w:tcW w:w="906" w:type="pct"/>
            <w:vMerge w:val="continue"/>
            <w:vAlign w:val="center"/>
          </w:tcPr>
          <w:p>
            <w:pPr>
              <w:spacing w:line="240" w:lineRule="auto"/>
              <w:rPr>
                <w:rFonts w:asciiTheme="minorEastAsia" w:hAnsiTheme="minorEastAsia"/>
                <w:sz w:val="21"/>
              </w:rPr>
            </w:pPr>
          </w:p>
        </w:tc>
        <w:tc>
          <w:tcPr>
            <w:tcW w:w="891" w:type="pct"/>
            <w:vMerge w:val="continue"/>
            <w:vAlign w:val="center"/>
          </w:tcPr>
          <w:p>
            <w:pPr>
              <w:spacing w:line="240" w:lineRule="auto"/>
              <w:rPr>
                <w:rFonts w:asciiTheme="minorEastAsia" w:hAnsiTheme="minorEastAsia"/>
                <w:sz w:val="21"/>
              </w:rPr>
            </w:pPr>
          </w:p>
        </w:tc>
        <w:tc>
          <w:tcPr>
            <w:tcW w:w="424" w:type="pct"/>
            <w:vMerge w:val="continue"/>
            <w:vAlign w:val="center"/>
          </w:tcPr>
          <w:p>
            <w:pPr>
              <w:spacing w:line="240" w:lineRule="auto"/>
              <w:rPr>
                <w:rFonts w:asciiTheme="minorEastAsia" w:hAnsiTheme="minorEastAsia"/>
                <w:sz w:val="21"/>
              </w:rPr>
            </w:pPr>
          </w:p>
        </w:tc>
        <w:tc>
          <w:tcPr>
            <w:tcW w:w="428" w:type="pct"/>
            <w:vMerge w:val="continue"/>
            <w:vAlign w:val="center"/>
          </w:tcPr>
          <w:p>
            <w:pPr>
              <w:spacing w:line="240" w:lineRule="auto"/>
              <w:rPr>
                <w:rFonts w:asciiTheme="minorEastAsia" w:hAnsiTheme="minorEastAsia"/>
                <w:sz w:val="21"/>
              </w:rPr>
            </w:pPr>
          </w:p>
        </w:tc>
        <w:tc>
          <w:tcPr>
            <w:tcW w:w="1927" w:type="pct"/>
            <w:vMerge w:val="continue"/>
            <w:vAlign w:val="center"/>
          </w:tcPr>
          <w:p>
            <w:pPr>
              <w:spacing w:line="240" w:lineRule="auto"/>
              <w:rPr>
                <w:rFonts w:asciiTheme="minorEastAsia" w:hAnsiTheme="minor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2</w:t>
            </w:r>
          </w:p>
        </w:tc>
        <w:tc>
          <w:tcPr>
            <w:tcW w:w="906"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解码器</w:t>
            </w:r>
          </w:p>
        </w:tc>
        <w:tc>
          <w:tcPr>
            <w:tcW w:w="891"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海康威视DS-6908UD</w:t>
            </w:r>
          </w:p>
        </w:tc>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台</w:t>
            </w:r>
          </w:p>
        </w:tc>
        <w:tc>
          <w:tcPr>
            <w:tcW w:w="428"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1</w:t>
            </w:r>
          </w:p>
        </w:tc>
        <w:tc>
          <w:tcPr>
            <w:tcW w:w="1927"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解码器本身及解码器相关连接网线、电源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3</w:t>
            </w:r>
          </w:p>
        </w:tc>
        <w:tc>
          <w:tcPr>
            <w:tcW w:w="906"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监控操作台</w:t>
            </w:r>
          </w:p>
        </w:tc>
        <w:tc>
          <w:tcPr>
            <w:tcW w:w="891"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定制</w:t>
            </w:r>
          </w:p>
        </w:tc>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台</w:t>
            </w:r>
          </w:p>
        </w:tc>
        <w:tc>
          <w:tcPr>
            <w:tcW w:w="428"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1</w:t>
            </w:r>
          </w:p>
        </w:tc>
        <w:tc>
          <w:tcPr>
            <w:tcW w:w="1927"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监控操作台本体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4</w:t>
            </w:r>
          </w:p>
        </w:tc>
        <w:tc>
          <w:tcPr>
            <w:tcW w:w="906"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网络键盘</w:t>
            </w:r>
          </w:p>
        </w:tc>
        <w:tc>
          <w:tcPr>
            <w:tcW w:w="891"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海康威视DS-1600K</w:t>
            </w:r>
          </w:p>
        </w:tc>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个</w:t>
            </w:r>
          </w:p>
        </w:tc>
        <w:tc>
          <w:tcPr>
            <w:tcW w:w="428"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1</w:t>
            </w:r>
          </w:p>
        </w:tc>
        <w:tc>
          <w:tcPr>
            <w:tcW w:w="1927"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网络键盘及其连接的网线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4" w:type="pct"/>
            <w:vMerge w:val="restar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5</w:t>
            </w:r>
          </w:p>
        </w:tc>
        <w:tc>
          <w:tcPr>
            <w:tcW w:w="906" w:type="pct"/>
            <w:vMerge w:val="restar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管理主机</w:t>
            </w:r>
          </w:p>
        </w:tc>
        <w:tc>
          <w:tcPr>
            <w:tcW w:w="891" w:type="pct"/>
            <w:vMerge w:val="restar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联想扬天M4000e</w:t>
            </w:r>
          </w:p>
        </w:tc>
        <w:tc>
          <w:tcPr>
            <w:tcW w:w="424" w:type="pct"/>
            <w:vMerge w:val="restar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台</w:t>
            </w:r>
          </w:p>
        </w:tc>
        <w:tc>
          <w:tcPr>
            <w:tcW w:w="428" w:type="pct"/>
            <w:vMerge w:val="restar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1</w:t>
            </w:r>
          </w:p>
        </w:tc>
        <w:tc>
          <w:tcPr>
            <w:tcW w:w="1927" w:type="pct"/>
            <w:vMerge w:val="restar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1、显示器、主机、操作系统、应用软件</w:t>
            </w:r>
            <w:r>
              <w:rPr>
                <w:rFonts w:hint="eastAsia" w:asciiTheme="minorEastAsia" w:hAnsiTheme="minorEastAsia"/>
                <w:sz w:val="21"/>
              </w:rPr>
              <w:br w:type="textWrapping"/>
            </w:r>
            <w:r>
              <w:rPr>
                <w:rFonts w:hint="eastAsia" w:asciiTheme="minorEastAsia" w:hAnsiTheme="minorEastAsia"/>
                <w:sz w:val="21"/>
              </w:rPr>
              <w:t>2、相关电源、网线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4" w:type="pct"/>
            <w:vMerge w:val="continue"/>
            <w:vAlign w:val="center"/>
          </w:tcPr>
          <w:p>
            <w:pPr>
              <w:spacing w:line="240" w:lineRule="auto"/>
              <w:rPr>
                <w:rFonts w:asciiTheme="minorEastAsia" w:hAnsiTheme="minorEastAsia"/>
                <w:sz w:val="21"/>
              </w:rPr>
            </w:pPr>
          </w:p>
        </w:tc>
        <w:tc>
          <w:tcPr>
            <w:tcW w:w="906" w:type="pct"/>
            <w:vMerge w:val="continue"/>
            <w:vAlign w:val="center"/>
          </w:tcPr>
          <w:p>
            <w:pPr>
              <w:spacing w:line="240" w:lineRule="auto"/>
              <w:rPr>
                <w:rFonts w:asciiTheme="minorEastAsia" w:hAnsiTheme="minorEastAsia"/>
                <w:sz w:val="21"/>
              </w:rPr>
            </w:pPr>
          </w:p>
        </w:tc>
        <w:tc>
          <w:tcPr>
            <w:tcW w:w="891" w:type="pct"/>
            <w:vMerge w:val="continue"/>
            <w:vAlign w:val="center"/>
          </w:tcPr>
          <w:p>
            <w:pPr>
              <w:spacing w:line="240" w:lineRule="auto"/>
              <w:rPr>
                <w:rFonts w:asciiTheme="minorEastAsia" w:hAnsiTheme="minorEastAsia"/>
                <w:sz w:val="21"/>
              </w:rPr>
            </w:pPr>
          </w:p>
        </w:tc>
        <w:tc>
          <w:tcPr>
            <w:tcW w:w="424" w:type="pct"/>
            <w:vMerge w:val="continue"/>
            <w:vAlign w:val="center"/>
          </w:tcPr>
          <w:p>
            <w:pPr>
              <w:spacing w:line="240" w:lineRule="auto"/>
              <w:rPr>
                <w:rFonts w:asciiTheme="minorEastAsia" w:hAnsiTheme="minorEastAsia"/>
                <w:sz w:val="21"/>
              </w:rPr>
            </w:pPr>
          </w:p>
        </w:tc>
        <w:tc>
          <w:tcPr>
            <w:tcW w:w="428" w:type="pct"/>
            <w:vMerge w:val="continue"/>
            <w:vAlign w:val="center"/>
          </w:tcPr>
          <w:p>
            <w:pPr>
              <w:spacing w:line="240" w:lineRule="auto"/>
              <w:rPr>
                <w:rFonts w:asciiTheme="minorEastAsia" w:hAnsiTheme="minorEastAsia"/>
                <w:sz w:val="21"/>
              </w:rPr>
            </w:pPr>
          </w:p>
        </w:tc>
        <w:tc>
          <w:tcPr>
            <w:tcW w:w="1927" w:type="pct"/>
            <w:vMerge w:val="continue"/>
            <w:vAlign w:val="center"/>
          </w:tcPr>
          <w:p>
            <w:pPr>
              <w:spacing w:line="240" w:lineRule="auto"/>
              <w:rPr>
                <w:rFonts w:asciiTheme="minorEastAsia" w:hAnsiTheme="minor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4" w:type="pct"/>
            <w:vMerge w:val="restar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6</w:t>
            </w:r>
          </w:p>
        </w:tc>
        <w:tc>
          <w:tcPr>
            <w:tcW w:w="906" w:type="pct"/>
            <w:vMerge w:val="restar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客户端电脑</w:t>
            </w:r>
          </w:p>
        </w:tc>
        <w:tc>
          <w:tcPr>
            <w:tcW w:w="891" w:type="pct"/>
            <w:vMerge w:val="restar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扬天M4000e</w:t>
            </w:r>
          </w:p>
        </w:tc>
        <w:tc>
          <w:tcPr>
            <w:tcW w:w="424" w:type="pct"/>
            <w:vMerge w:val="restar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台</w:t>
            </w:r>
          </w:p>
        </w:tc>
        <w:tc>
          <w:tcPr>
            <w:tcW w:w="428" w:type="pct"/>
            <w:vMerge w:val="restar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2</w:t>
            </w:r>
          </w:p>
        </w:tc>
        <w:tc>
          <w:tcPr>
            <w:tcW w:w="1927" w:type="pct"/>
            <w:vMerge w:val="restar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1、显示器、主机、操作系统、应用软件</w:t>
            </w:r>
            <w:r>
              <w:rPr>
                <w:rFonts w:hint="eastAsia" w:asciiTheme="minorEastAsia" w:hAnsiTheme="minorEastAsia"/>
                <w:sz w:val="21"/>
              </w:rPr>
              <w:br w:type="textWrapping"/>
            </w:r>
            <w:r>
              <w:rPr>
                <w:rFonts w:hint="eastAsia" w:asciiTheme="minorEastAsia" w:hAnsiTheme="minorEastAsia"/>
                <w:sz w:val="21"/>
              </w:rPr>
              <w:t>2、相关电源、网线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4" w:type="pct"/>
            <w:vMerge w:val="continue"/>
            <w:vAlign w:val="center"/>
          </w:tcPr>
          <w:p>
            <w:pPr>
              <w:spacing w:line="240" w:lineRule="auto"/>
              <w:rPr>
                <w:rFonts w:asciiTheme="minorEastAsia" w:hAnsiTheme="minorEastAsia"/>
                <w:sz w:val="21"/>
              </w:rPr>
            </w:pPr>
          </w:p>
        </w:tc>
        <w:tc>
          <w:tcPr>
            <w:tcW w:w="906" w:type="pct"/>
            <w:vMerge w:val="continue"/>
            <w:vAlign w:val="center"/>
          </w:tcPr>
          <w:p>
            <w:pPr>
              <w:spacing w:line="240" w:lineRule="auto"/>
              <w:rPr>
                <w:rFonts w:asciiTheme="minorEastAsia" w:hAnsiTheme="minorEastAsia"/>
                <w:sz w:val="21"/>
              </w:rPr>
            </w:pPr>
          </w:p>
        </w:tc>
        <w:tc>
          <w:tcPr>
            <w:tcW w:w="891" w:type="pct"/>
            <w:vMerge w:val="continue"/>
            <w:vAlign w:val="center"/>
          </w:tcPr>
          <w:p>
            <w:pPr>
              <w:spacing w:line="240" w:lineRule="auto"/>
              <w:rPr>
                <w:rFonts w:asciiTheme="minorEastAsia" w:hAnsiTheme="minorEastAsia"/>
                <w:sz w:val="21"/>
              </w:rPr>
            </w:pPr>
          </w:p>
        </w:tc>
        <w:tc>
          <w:tcPr>
            <w:tcW w:w="424" w:type="pct"/>
            <w:vMerge w:val="continue"/>
            <w:vAlign w:val="center"/>
          </w:tcPr>
          <w:p>
            <w:pPr>
              <w:spacing w:line="240" w:lineRule="auto"/>
              <w:rPr>
                <w:rFonts w:asciiTheme="minorEastAsia" w:hAnsiTheme="minorEastAsia"/>
                <w:sz w:val="21"/>
              </w:rPr>
            </w:pPr>
          </w:p>
        </w:tc>
        <w:tc>
          <w:tcPr>
            <w:tcW w:w="428" w:type="pct"/>
            <w:vMerge w:val="continue"/>
            <w:vAlign w:val="center"/>
          </w:tcPr>
          <w:p>
            <w:pPr>
              <w:spacing w:line="240" w:lineRule="auto"/>
              <w:rPr>
                <w:rFonts w:asciiTheme="minorEastAsia" w:hAnsiTheme="minorEastAsia"/>
                <w:sz w:val="21"/>
              </w:rPr>
            </w:pPr>
          </w:p>
        </w:tc>
        <w:tc>
          <w:tcPr>
            <w:tcW w:w="1927" w:type="pct"/>
            <w:vMerge w:val="continue"/>
            <w:vAlign w:val="center"/>
          </w:tcPr>
          <w:p>
            <w:pPr>
              <w:spacing w:line="240" w:lineRule="auto"/>
              <w:rPr>
                <w:rFonts w:asciiTheme="minorEastAsia" w:hAnsiTheme="minor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73" w:type="pct"/>
            <w:gridSpan w:val="5"/>
            <w:shd w:val="clear" w:color="000000" w:fill="FFE699"/>
            <w:noWrap/>
            <w:vAlign w:val="center"/>
          </w:tcPr>
          <w:p>
            <w:pPr>
              <w:spacing w:line="240" w:lineRule="auto"/>
              <w:rPr>
                <w:rFonts w:asciiTheme="minorEastAsia" w:hAnsiTheme="minorEastAsia"/>
                <w:sz w:val="21"/>
              </w:rPr>
            </w:pPr>
            <w:r>
              <w:rPr>
                <w:rFonts w:hint="eastAsia" w:asciiTheme="minorEastAsia" w:hAnsiTheme="minorEastAsia"/>
                <w:sz w:val="21"/>
              </w:rPr>
              <w:t>三、停车道闸系统</w:t>
            </w:r>
          </w:p>
        </w:tc>
        <w:tc>
          <w:tcPr>
            <w:tcW w:w="1927" w:type="pct"/>
            <w:shd w:val="clear" w:color="000000" w:fill="FFE699"/>
            <w:vAlign w:val="center"/>
          </w:tcPr>
          <w:p>
            <w:pPr>
              <w:spacing w:line="240" w:lineRule="auto"/>
              <w:rPr>
                <w:rFonts w:asciiTheme="minorEastAsia" w:hAnsiTheme="minorEastAsia"/>
                <w:sz w:val="21"/>
              </w:rPr>
            </w:pPr>
            <w:r>
              <w:rPr>
                <w:rFonts w:hint="eastAsia" w:asciiTheme="minorEastAsia" w:hAnsiTheme="minor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4" w:type="pct"/>
            <w:shd w:val="clear" w:color="auto" w:fill="auto"/>
            <w:vAlign w:val="center"/>
          </w:tcPr>
          <w:p>
            <w:pPr>
              <w:spacing w:line="240" w:lineRule="auto"/>
              <w:rPr>
                <w:rFonts w:asciiTheme="minorEastAsia" w:hAnsiTheme="minorEastAsia"/>
                <w:sz w:val="21"/>
              </w:rPr>
            </w:pPr>
            <w:bookmarkStart w:id="2" w:name="OLE_LINK59"/>
            <w:r>
              <w:rPr>
                <w:rFonts w:hint="eastAsia" w:asciiTheme="minorEastAsia" w:hAnsiTheme="minorEastAsia"/>
                <w:sz w:val="21"/>
              </w:rPr>
              <w:t>1</w:t>
            </w:r>
          </w:p>
        </w:tc>
        <w:tc>
          <w:tcPr>
            <w:tcW w:w="906"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智能补光抓拍道闸</w:t>
            </w:r>
          </w:p>
        </w:tc>
        <w:tc>
          <w:tcPr>
            <w:tcW w:w="891"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海康威视DS-TMG140-H</w:t>
            </w:r>
          </w:p>
        </w:tc>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台</w:t>
            </w:r>
          </w:p>
        </w:tc>
        <w:tc>
          <w:tcPr>
            <w:tcW w:w="428"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3</w:t>
            </w:r>
          </w:p>
        </w:tc>
        <w:tc>
          <w:tcPr>
            <w:tcW w:w="1927" w:type="pct"/>
            <w:vMerge w:val="restar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1、道闸：包括杆体、控制器、电机</w:t>
            </w:r>
            <w:r>
              <w:rPr>
                <w:rFonts w:hint="eastAsia" w:asciiTheme="minorEastAsia" w:hAnsiTheme="minorEastAsia"/>
                <w:sz w:val="21"/>
              </w:rPr>
              <w:br w:type="textWrapping"/>
            </w:r>
            <w:r>
              <w:rPr>
                <w:rFonts w:hint="eastAsia" w:asciiTheme="minorEastAsia" w:hAnsiTheme="minorEastAsia"/>
                <w:sz w:val="21"/>
              </w:rPr>
              <w:t>2、抓拍机：包括摄像机本体、网络连接件、电源部分</w:t>
            </w:r>
            <w:r>
              <w:rPr>
                <w:rFonts w:hint="eastAsia" w:asciiTheme="minorEastAsia" w:hAnsiTheme="minorEastAsia"/>
                <w:sz w:val="21"/>
              </w:rPr>
              <w:br w:type="textWrapping"/>
            </w:r>
            <w:r>
              <w:rPr>
                <w:rFonts w:hint="eastAsia" w:asciiTheme="minorEastAsia" w:hAnsiTheme="minorEastAsia"/>
                <w:sz w:val="21"/>
              </w:rPr>
              <w:t>3、出入口控制端：含本体、电源、网络</w:t>
            </w:r>
            <w:r>
              <w:rPr>
                <w:rFonts w:hint="eastAsia" w:asciiTheme="minorEastAsia" w:hAnsiTheme="minorEastAsia"/>
                <w:sz w:val="21"/>
              </w:rPr>
              <w:br w:type="textWrapping"/>
            </w:r>
            <w:r>
              <w:rPr>
                <w:rFonts w:hint="eastAsia" w:asciiTheme="minorEastAsia" w:hAnsiTheme="minorEastAsia"/>
                <w:sz w:val="21"/>
              </w:rPr>
              <w:t>4、以上设备的控制箱体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2</w:t>
            </w:r>
          </w:p>
        </w:tc>
        <w:tc>
          <w:tcPr>
            <w:tcW w:w="906"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智能补光抓拍道闸1</w:t>
            </w:r>
          </w:p>
        </w:tc>
        <w:tc>
          <w:tcPr>
            <w:tcW w:w="891"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海康威视DS-TMG403</w:t>
            </w:r>
          </w:p>
        </w:tc>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台</w:t>
            </w:r>
          </w:p>
        </w:tc>
        <w:tc>
          <w:tcPr>
            <w:tcW w:w="428"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2</w:t>
            </w:r>
          </w:p>
        </w:tc>
        <w:tc>
          <w:tcPr>
            <w:tcW w:w="1927" w:type="pct"/>
            <w:vMerge w:val="continue"/>
            <w:vAlign w:val="center"/>
          </w:tcPr>
          <w:p>
            <w:pPr>
              <w:spacing w:line="240" w:lineRule="auto"/>
              <w:rPr>
                <w:rFonts w:asciiTheme="minorEastAsia" w:hAnsiTheme="minor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3</w:t>
            </w:r>
          </w:p>
        </w:tc>
        <w:tc>
          <w:tcPr>
            <w:tcW w:w="906"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抓拍摄像机</w:t>
            </w:r>
          </w:p>
        </w:tc>
        <w:tc>
          <w:tcPr>
            <w:tcW w:w="891"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海康威视DS-TCG225</w:t>
            </w:r>
          </w:p>
        </w:tc>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台</w:t>
            </w:r>
          </w:p>
        </w:tc>
        <w:tc>
          <w:tcPr>
            <w:tcW w:w="428"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1</w:t>
            </w:r>
          </w:p>
        </w:tc>
        <w:tc>
          <w:tcPr>
            <w:tcW w:w="1927" w:type="pct"/>
            <w:vMerge w:val="continue"/>
            <w:vAlign w:val="center"/>
          </w:tcPr>
          <w:p>
            <w:pPr>
              <w:spacing w:line="240" w:lineRule="auto"/>
              <w:rPr>
                <w:rFonts w:asciiTheme="minorEastAsia" w:hAnsiTheme="minor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4</w:t>
            </w:r>
          </w:p>
        </w:tc>
        <w:tc>
          <w:tcPr>
            <w:tcW w:w="906"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出入口控制终端</w:t>
            </w:r>
          </w:p>
        </w:tc>
        <w:tc>
          <w:tcPr>
            <w:tcW w:w="891"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海康威视DS-TPE104(1T)</w:t>
            </w:r>
          </w:p>
        </w:tc>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台</w:t>
            </w:r>
          </w:p>
        </w:tc>
        <w:tc>
          <w:tcPr>
            <w:tcW w:w="428"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2</w:t>
            </w:r>
          </w:p>
        </w:tc>
        <w:tc>
          <w:tcPr>
            <w:tcW w:w="1927" w:type="pct"/>
            <w:vMerge w:val="continue"/>
            <w:vAlign w:val="center"/>
          </w:tcPr>
          <w:p>
            <w:pPr>
              <w:spacing w:line="240" w:lineRule="auto"/>
              <w:rPr>
                <w:rFonts w:asciiTheme="minorEastAsia" w:hAnsiTheme="minorEastAsia"/>
                <w:sz w:val="21"/>
              </w:rPr>
            </w:pP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73" w:type="pct"/>
            <w:gridSpan w:val="5"/>
            <w:shd w:val="clear" w:color="000000" w:fill="FFE699"/>
            <w:noWrap/>
            <w:vAlign w:val="center"/>
          </w:tcPr>
          <w:p>
            <w:pPr>
              <w:spacing w:line="240" w:lineRule="auto"/>
              <w:rPr>
                <w:rFonts w:asciiTheme="minorEastAsia" w:hAnsiTheme="minorEastAsia"/>
                <w:sz w:val="21"/>
              </w:rPr>
            </w:pPr>
            <w:r>
              <w:rPr>
                <w:rFonts w:hint="eastAsia" w:asciiTheme="minorEastAsia" w:hAnsiTheme="minorEastAsia"/>
                <w:sz w:val="21"/>
              </w:rPr>
              <w:t>四、LED</w:t>
            </w:r>
            <w:r>
              <w:rPr>
                <w:rFonts w:asciiTheme="minorEastAsia" w:hAnsiTheme="minorEastAsia"/>
                <w:sz w:val="21"/>
              </w:rPr>
              <w:t>大屏幕显示系统</w:t>
            </w:r>
          </w:p>
        </w:tc>
        <w:tc>
          <w:tcPr>
            <w:tcW w:w="1927" w:type="pct"/>
            <w:shd w:val="clear" w:color="000000" w:fill="FFE699"/>
            <w:vAlign w:val="center"/>
          </w:tcPr>
          <w:p>
            <w:pPr>
              <w:spacing w:line="240" w:lineRule="auto"/>
              <w:rPr>
                <w:rFonts w:asciiTheme="minorEastAsia" w:hAnsiTheme="minorEastAsia"/>
                <w:sz w:val="21"/>
              </w:rPr>
            </w:pPr>
            <w:r>
              <w:rPr>
                <w:rFonts w:hint="eastAsia" w:asciiTheme="minorEastAsia" w:hAnsiTheme="minor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1</w:t>
            </w:r>
          </w:p>
        </w:tc>
        <w:tc>
          <w:tcPr>
            <w:tcW w:w="906"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室内全彩</w:t>
            </w:r>
            <w:r>
              <w:rPr>
                <w:rFonts w:asciiTheme="minorEastAsia" w:hAnsiTheme="minorEastAsia"/>
                <w:sz w:val="21"/>
              </w:rPr>
              <w:t>显示屏</w:t>
            </w:r>
          </w:p>
        </w:tc>
        <w:tc>
          <w:tcPr>
            <w:tcW w:w="891"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齐</w:t>
            </w:r>
            <w:r>
              <w:rPr>
                <w:rFonts w:asciiTheme="minorEastAsia" w:hAnsiTheme="minorEastAsia"/>
                <w:sz w:val="21"/>
              </w:rPr>
              <w:t>普光典</w:t>
            </w:r>
            <w:r>
              <w:rPr>
                <w:rFonts w:hint="eastAsia" w:asciiTheme="minorEastAsia" w:hAnsiTheme="minorEastAsia"/>
                <w:sz w:val="21"/>
              </w:rPr>
              <w:t>P</w:t>
            </w:r>
            <w:r>
              <w:rPr>
                <w:rFonts w:asciiTheme="minorEastAsia" w:hAnsiTheme="minorEastAsia"/>
                <w:sz w:val="21"/>
              </w:rPr>
              <w:t>1.58</w:t>
            </w:r>
            <w:r>
              <w:rPr>
                <w:rFonts w:hint="eastAsia" w:asciiTheme="minorEastAsia" w:hAnsiTheme="minorEastAsia"/>
                <w:sz w:val="21"/>
              </w:rPr>
              <w:t>小间距</w:t>
            </w:r>
          </w:p>
        </w:tc>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平方</w:t>
            </w:r>
          </w:p>
        </w:tc>
        <w:tc>
          <w:tcPr>
            <w:tcW w:w="428" w:type="pct"/>
            <w:shd w:val="clear" w:color="auto" w:fill="auto"/>
            <w:vAlign w:val="center"/>
          </w:tcPr>
          <w:p>
            <w:pPr>
              <w:spacing w:line="240" w:lineRule="auto"/>
              <w:rPr>
                <w:rFonts w:asciiTheme="minorEastAsia" w:hAnsiTheme="minorEastAsia"/>
                <w:sz w:val="21"/>
              </w:rPr>
            </w:pPr>
            <w:r>
              <w:rPr>
                <w:rFonts w:asciiTheme="minorEastAsia" w:hAnsiTheme="minorEastAsia"/>
                <w:sz w:val="21"/>
              </w:rPr>
              <w:t>10</w:t>
            </w:r>
            <w:r>
              <w:rPr>
                <w:rFonts w:hint="eastAsia" w:asciiTheme="minorEastAsia" w:hAnsiTheme="minorEastAsia"/>
                <w:sz w:val="21"/>
              </w:rPr>
              <w:t xml:space="preserve"> </w:t>
            </w:r>
          </w:p>
        </w:tc>
        <w:tc>
          <w:tcPr>
            <w:tcW w:w="1927" w:type="pct"/>
            <w:vMerge w:val="restart"/>
            <w:shd w:val="clear" w:color="auto" w:fill="auto"/>
            <w:vAlign w:val="center"/>
          </w:tcPr>
          <w:p>
            <w:pPr>
              <w:spacing w:line="240" w:lineRule="auto"/>
              <w:rPr>
                <w:rFonts w:asciiTheme="minorEastAsia" w:hAnsiTheme="minorEastAsia"/>
                <w:sz w:val="21"/>
              </w:rPr>
            </w:pPr>
            <w:r>
              <w:rPr>
                <w:rFonts w:asciiTheme="minorEastAsia" w:hAnsiTheme="minorEastAsia"/>
                <w:sz w:val="21"/>
              </w:rPr>
              <w:t>1</w:t>
            </w:r>
            <w:r>
              <w:rPr>
                <w:rFonts w:hint="eastAsia" w:asciiTheme="minorEastAsia" w:hAnsiTheme="minorEastAsia"/>
                <w:sz w:val="21"/>
              </w:rPr>
              <w:t>、LED显示</w:t>
            </w:r>
            <w:r>
              <w:rPr>
                <w:rFonts w:asciiTheme="minorEastAsia" w:hAnsiTheme="minorEastAsia"/>
                <w:sz w:val="21"/>
              </w:rPr>
              <w:t>屏</w:t>
            </w:r>
          </w:p>
          <w:p>
            <w:pPr>
              <w:spacing w:line="240" w:lineRule="auto"/>
              <w:rPr>
                <w:rFonts w:asciiTheme="minorEastAsia" w:hAnsiTheme="minorEastAsia"/>
                <w:sz w:val="21"/>
              </w:rPr>
            </w:pPr>
            <w:r>
              <w:rPr>
                <w:rFonts w:hint="eastAsia" w:asciiTheme="minorEastAsia" w:hAnsiTheme="minorEastAsia"/>
                <w:sz w:val="21"/>
              </w:rPr>
              <w:t>2、LED配电箱</w:t>
            </w:r>
          </w:p>
          <w:p>
            <w:pPr>
              <w:spacing w:line="240" w:lineRule="auto"/>
              <w:rPr>
                <w:rFonts w:asciiTheme="minorEastAsia" w:hAnsiTheme="minorEastAsia"/>
                <w:sz w:val="21"/>
              </w:rPr>
            </w:pPr>
            <w:r>
              <w:rPr>
                <w:rFonts w:hint="eastAsia" w:asciiTheme="minorEastAsia" w:hAnsiTheme="minorEastAsia"/>
                <w:sz w:val="21"/>
              </w:rPr>
              <w:t>3、LED视频</w:t>
            </w:r>
            <w:r>
              <w:rPr>
                <w:rFonts w:asciiTheme="minorEastAsia" w:hAnsiTheme="minorEastAsia"/>
                <w:sz w:val="21"/>
              </w:rPr>
              <w:t>处理器与发送卡</w:t>
            </w:r>
          </w:p>
          <w:p>
            <w:pPr>
              <w:spacing w:line="240" w:lineRule="auto"/>
              <w:rPr>
                <w:rFonts w:asciiTheme="minorEastAsia" w:hAnsiTheme="minorEastAsia"/>
                <w:sz w:val="21"/>
              </w:rPr>
            </w:pPr>
            <w:r>
              <w:rPr>
                <w:rFonts w:hint="eastAsia" w:asciiTheme="minorEastAsia" w:hAnsiTheme="minorEastAsia"/>
                <w:sz w:val="21"/>
              </w:rPr>
              <w:t>4、配电</w:t>
            </w:r>
            <w:r>
              <w:rPr>
                <w:rFonts w:asciiTheme="minorEastAsia" w:hAnsiTheme="minorEastAsia"/>
                <w:sz w:val="21"/>
              </w:rPr>
              <w:t>柜</w:t>
            </w:r>
            <w:r>
              <w:rPr>
                <w:rFonts w:hint="eastAsia" w:asciiTheme="minorEastAsia" w:hAnsiTheme="minorEastAsia"/>
                <w:sz w:val="21"/>
              </w:rPr>
              <w:t>及链接</w:t>
            </w:r>
            <w:r>
              <w:rPr>
                <w:rFonts w:asciiTheme="minorEastAsia" w:hAnsiTheme="minorEastAsia"/>
                <w:sz w:val="21"/>
              </w:rPr>
              <w:t>以上设备的控制线缆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2</w:t>
            </w:r>
          </w:p>
        </w:tc>
        <w:tc>
          <w:tcPr>
            <w:tcW w:w="906"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LE</w:t>
            </w:r>
            <w:r>
              <w:rPr>
                <w:rFonts w:asciiTheme="minorEastAsia" w:hAnsiTheme="minorEastAsia"/>
                <w:sz w:val="21"/>
              </w:rPr>
              <w:t>D全彩屏发送</w:t>
            </w:r>
            <w:r>
              <w:rPr>
                <w:rFonts w:hint="eastAsia" w:asciiTheme="minorEastAsia" w:hAnsiTheme="minorEastAsia"/>
                <w:sz w:val="21"/>
              </w:rPr>
              <w:t>卡</w:t>
            </w:r>
          </w:p>
        </w:tc>
        <w:tc>
          <w:tcPr>
            <w:tcW w:w="891"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卡莱特</w:t>
            </w:r>
            <w:r>
              <w:rPr>
                <w:rFonts w:asciiTheme="minorEastAsia" w:hAnsiTheme="minorEastAsia"/>
                <w:sz w:val="21"/>
              </w:rPr>
              <w:t>S2</w:t>
            </w:r>
          </w:p>
        </w:tc>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台</w:t>
            </w:r>
          </w:p>
        </w:tc>
        <w:tc>
          <w:tcPr>
            <w:tcW w:w="428" w:type="pct"/>
            <w:shd w:val="clear" w:color="auto" w:fill="auto"/>
            <w:vAlign w:val="center"/>
          </w:tcPr>
          <w:p>
            <w:pPr>
              <w:spacing w:line="240" w:lineRule="auto"/>
              <w:rPr>
                <w:rFonts w:asciiTheme="minorEastAsia" w:hAnsiTheme="minorEastAsia"/>
                <w:sz w:val="21"/>
              </w:rPr>
            </w:pPr>
            <w:r>
              <w:rPr>
                <w:rFonts w:asciiTheme="minorEastAsia" w:hAnsiTheme="minorEastAsia"/>
                <w:sz w:val="21"/>
              </w:rPr>
              <w:t>4</w:t>
            </w:r>
          </w:p>
        </w:tc>
        <w:tc>
          <w:tcPr>
            <w:tcW w:w="1927" w:type="pct"/>
            <w:vMerge w:val="continue"/>
            <w:vAlign w:val="center"/>
          </w:tcPr>
          <w:p>
            <w:pPr>
              <w:spacing w:line="240" w:lineRule="auto"/>
              <w:rPr>
                <w:rFonts w:asciiTheme="minorEastAsia" w:hAnsiTheme="minor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3</w:t>
            </w:r>
          </w:p>
        </w:tc>
        <w:tc>
          <w:tcPr>
            <w:tcW w:w="906"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视频</w:t>
            </w:r>
            <w:r>
              <w:rPr>
                <w:rFonts w:asciiTheme="minorEastAsia" w:hAnsiTheme="minorEastAsia"/>
                <w:sz w:val="21"/>
              </w:rPr>
              <w:t>处理器</w:t>
            </w:r>
          </w:p>
        </w:tc>
        <w:tc>
          <w:tcPr>
            <w:tcW w:w="891"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卡莱特X</w:t>
            </w:r>
            <w:r>
              <w:rPr>
                <w:rFonts w:asciiTheme="minorEastAsia" w:hAnsiTheme="minorEastAsia"/>
                <w:sz w:val="21"/>
              </w:rPr>
              <w:t>16</w:t>
            </w:r>
          </w:p>
        </w:tc>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台</w:t>
            </w:r>
          </w:p>
        </w:tc>
        <w:tc>
          <w:tcPr>
            <w:tcW w:w="428"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1</w:t>
            </w:r>
          </w:p>
        </w:tc>
        <w:tc>
          <w:tcPr>
            <w:tcW w:w="1927" w:type="pct"/>
            <w:vMerge w:val="continue"/>
            <w:vAlign w:val="center"/>
          </w:tcPr>
          <w:p>
            <w:pPr>
              <w:spacing w:line="240" w:lineRule="auto"/>
              <w:rPr>
                <w:rFonts w:asciiTheme="minorEastAsia" w:hAnsiTheme="minor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4" w:type="pct"/>
            <w:shd w:val="clear" w:color="auto" w:fill="auto"/>
            <w:vAlign w:val="center"/>
          </w:tcPr>
          <w:p>
            <w:pPr>
              <w:spacing w:line="240" w:lineRule="auto"/>
              <w:rPr>
                <w:rFonts w:asciiTheme="minorEastAsia" w:hAnsiTheme="minorEastAsia"/>
                <w:sz w:val="21"/>
              </w:rPr>
            </w:pPr>
            <w:r>
              <w:rPr>
                <w:rFonts w:asciiTheme="minorEastAsia" w:hAnsiTheme="minorEastAsia"/>
                <w:sz w:val="21"/>
              </w:rPr>
              <w:t>4</w:t>
            </w:r>
          </w:p>
        </w:tc>
        <w:tc>
          <w:tcPr>
            <w:tcW w:w="906"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LED屏</w:t>
            </w:r>
            <w:r>
              <w:rPr>
                <w:rFonts w:asciiTheme="minorEastAsia" w:hAnsiTheme="minorEastAsia"/>
                <w:sz w:val="21"/>
              </w:rPr>
              <w:t>支架</w:t>
            </w:r>
          </w:p>
        </w:tc>
        <w:tc>
          <w:tcPr>
            <w:tcW w:w="891"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齐</w:t>
            </w:r>
            <w:r>
              <w:rPr>
                <w:rFonts w:asciiTheme="minorEastAsia" w:hAnsiTheme="minorEastAsia"/>
                <w:sz w:val="21"/>
              </w:rPr>
              <w:t>普</w:t>
            </w:r>
            <w:r>
              <w:rPr>
                <w:rFonts w:hint="eastAsia" w:asciiTheme="minorEastAsia" w:hAnsiTheme="minorEastAsia"/>
                <w:sz w:val="21"/>
              </w:rPr>
              <w:t>光电</w:t>
            </w:r>
            <w:r>
              <w:rPr>
                <w:rFonts w:asciiTheme="minorEastAsia" w:hAnsiTheme="minorEastAsia"/>
                <w:sz w:val="21"/>
              </w:rPr>
              <w:t>定制</w:t>
            </w:r>
          </w:p>
        </w:tc>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套</w:t>
            </w:r>
          </w:p>
        </w:tc>
        <w:tc>
          <w:tcPr>
            <w:tcW w:w="428"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1</w:t>
            </w:r>
          </w:p>
        </w:tc>
        <w:tc>
          <w:tcPr>
            <w:tcW w:w="1927" w:type="pct"/>
            <w:vMerge w:val="continue"/>
            <w:vAlign w:val="center"/>
          </w:tcPr>
          <w:p>
            <w:pPr>
              <w:spacing w:line="240" w:lineRule="auto"/>
              <w:rPr>
                <w:rFonts w:asciiTheme="minorEastAsia" w:hAnsiTheme="minor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4" w:type="pct"/>
            <w:shd w:val="clear" w:color="auto" w:fill="auto"/>
            <w:vAlign w:val="center"/>
          </w:tcPr>
          <w:p>
            <w:pPr>
              <w:spacing w:line="240" w:lineRule="auto"/>
              <w:rPr>
                <w:rFonts w:asciiTheme="minorEastAsia" w:hAnsiTheme="minorEastAsia"/>
                <w:sz w:val="21"/>
              </w:rPr>
            </w:pPr>
            <w:r>
              <w:rPr>
                <w:rFonts w:asciiTheme="minorEastAsia" w:hAnsiTheme="minorEastAsia"/>
                <w:sz w:val="21"/>
              </w:rPr>
              <w:t>5</w:t>
            </w:r>
          </w:p>
        </w:tc>
        <w:tc>
          <w:tcPr>
            <w:tcW w:w="906"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配电</w:t>
            </w:r>
            <w:r>
              <w:rPr>
                <w:rFonts w:asciiTheme="minorEastAsia" w:hAnsiTheme="minorEastAsia"/>
                <w:sz w:val="21"/>
              </w:rPr>
              <w:t>柜</w:t>
            </w:r>
          </w:p>
        </w:tc>
        <w:tc>
          <w:tcPr>
            <w:tcW w:w="891"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路</w:t>
            </w:r>
            <w:r>
              <w:rPr>
                <w:rFonts w:asciiTheme="minorEastAsia" w:hAnsiTheme="minorEastAsia"/>
                <w:sz w:val="21"/>
              </w:rPr>
              <w:t>安</w:t>
            </w:r>
            <w:r>
              <w:rPr>
                <w:rFonts w:hint="eastAsia" w:asciiTheme="minorEastAsia" w:hAnsiTheme="minorEastAsia"/>
                <w:sz w:val="21"/>
              </w:rPr>
              <w:t>20</w:t>
            </w:r>
            <w:r>
              <w:rPr>
                <w:rFonts w:asciiTheme="minorEastAsia" w:hAnsiTheme="minorEastAsia"/>
                <w:sz w:val="21"/>
              </w:rPr>
              <w:t>KW</w:t>
            </w:r>
          </w:p>
        </w:tc>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台</w:t>
            </w:r>
          </w:p>
        </w:tc>
        <w:tc>
          <w:tcPr>
            <w:tcW w:w="428"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1</w:t>
            </w:r>
          </w:p>
        </w:tc>
        <w:tc>
          <w:tcPr>
            <w:tcW w:w="1927" w:type="pct"/>
            <w:vMerge w:val="continue"/>
            <w:vAlign w:val="center"/>
          </w:tcPr>
          <w:p>
            <w:pPr>
              <w:spacing w:line="240" w:lineRule="auto"/>
              <w:rPr>
                <w:rFonts w:asciiTheme="minorEastAsia" w:hAnsiTheme="minor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6</w:t>
            </w:r>
          </w:p>
        </w:tc>
        <w:tc>
          <w:tcPr>
            <w:tcW w:w="906"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线缆</w:t>
            </w:r>
          </w:p>
        </w:tc>
        <w:tc>
          <w:tcPr>
            <w:tcW w:w="891"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RVV</w:t>
            </w:r>
            <w:r>
              <w:rPr>
                <w:rFonts w:asciiTheme="minorEastAsia" w:hAnsiTheme="minorEastAsia"/>
                <w:sz w:val="21"/>
              </w:rPr>
              <w:t>4*3</w:t>
            </w:r>
            <w:r>
              <w:rPr>
                <w:rFonts w:hint="eastAsia" w:asciiTheme="minorEastAsia" w:hAnsiTheme="minorEastAsia"/>
                <w:sz w:val="21"/>
              </w:rPr>
              <w:t>,7米</w:t>
            </w:r>
            <w:r>
              <w:rPr>
                <w:rFonts w:asciiTheme="minorEastAsia" w:hAnsiTheme="minorEastAsia"/>
                <w:sz w:val="21"/>
              </w:rPr>
              <w:t>DVI等</w:t>
            </w:r>
          </w:p>
        </w:tc>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批</w:t>
            </w:r>
          </w:p>
        </w:tc>
        <w:tc>
          <w:tcPr>
            <w:tcW w:w="428"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1</w:t>
            </w:r>
          </w:p>
        </w:tc>
        <w:tc>
          <w:tcPr>
            <w:tcW w:w="1927" w:type="pct"/>
            <w:vMerge w:val="continue"/>
            <w:vAlign w:val="center"/>
          </w:tcPr>
          <w:p>
            <w:pPr>
              <w:spacing w:line="240" w:lineRule="auto"/>
              <w:rPr>
                <w:rFonts w:asciiTheme="minorEastAsia" w:hAnsiTheme="minor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7</w:t>
            </w:r>
          </w:p>
        </w:tc>
        <w:tc>
          <w:tcPr>
            <w:tcW w:w="906"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大</w:t>
            </w:r>
            <w:r>
              <w:rPr>
                <w:rFonts w:asciiTheme="minorEastAsia" w:hAnsiTheme="minorEastAsia"/>
                <w:sz w:val="21"/>
              </w:rPr>
              <w:t>屏幕包边</w:t>
            </w:r>
          </w:p>
        </w:tc>
        <w:tc>
          <w:tcPr>
            <w:tcW w:w="891"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黑色</w:t>
            </w:r>
            <w:r>
              <w:rPr>
                <w:rFonts w:asciiTheme="minorEastAsia" w:hAnsiTheme="minorEastAsia"/>
                <w:sz w:val="21"/>
              </w:rPr>
              <w:t>铝合金包边</w:t>
            </w:r>
          </w:p>
        </w:tc>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项</w:t>
            </w:r>
          </w:p>
        </w:tc>
        <w:tc>
          <w:tcPr>
            <w:tcW w:w="428"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1</w:t>
            </w:r>
          </w:p>
        </w:tc>
        <w:tc>
          <w:tcPr>
            <w:tcW w:w="1927" w:type="pct"/>
            <w:vMerge w:val="continue"/>
            <w:vAlign w:val="center"/>
          </w:tcPr>
          <w:p>
            <w:pPr>
              <w:spacing w:line="240" w:lineRule="auto"/>
              <w:rPr>
                <w:rFonts w:asciiTheme="minorEastAsia" w:hAnsiTheme="minor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73" w:type="pct"/>
            <w:gridSpan w:val="5"/>
            <w:shd w:val="clear" w:color="000000" w:fill="FFE699"/>
            <w:noWrap/>
            <w:vAlign w:val="center"/>
          </w:tcPr>
          <w:p>
            <w:pPr>
              <w:spacing w:line="240" w:lineRule="auto"/>
              <w:rPr>
                <w:rFonts w:asciiTheme="minorEastAsia" w:hAnsiTheme="minorEastAsia"/>
                <w:sz w:val="21"/>
              </w:rPr>
            </w:pPr>
            <w:r>
              <w:rPr>
                <w:rFonts w:hint="eastAsia" w:asciiTheme="minorEastAsia" w:hAnsiTheme="minorEastAsia"/>
                <w:sz w:val="21"/>
              </w:rPr>
              <w:t>五、机房设备与后端服务器</w:t>
            </w:r>
          </w:p>
        </w:tc>
        <w:tc>
          <w:tcPr>
            <w:tcW w:w="1927" w:type="pct"/>
            <w:shd w:val="clear" w:color="000000" w:fill="FFE699"/>
            <w:vAlign w:val="center"/>
          </w:tcPr>
          <w:p>
            <w:pPr>
              <w:spacing w:line="240" w:lineRule="auto"/>
              <w:rPr>
                <w:rFonts w:asciiTheme="minorEastAsia" w:hAnsiTheme="minorEastAsia"/>
                <w:sz w:val="21"/>
              </w:rPr>
            </w:pPr>
            <w:r>
              <w:rPr>
                <w:rFonts w:hint="eastAsia" w:asciiTheme="minorEastAsia" w:hAnsiTheme="minor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1</w:t>
            </w:r>
          </w:p>
        </w:tc>
        <w:tc>
          <w:tcPr>
            <w:tcW w:w="906"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流媒体服务器</w:t>
            </w:r>
          </w:p>
        </w:tc>
        <w:tc>
          <w:tcPr>
            <w:tcW w:w="891"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宝德PR2510G</w:t>
            </w:r>
          </w:p>
        </w:tc>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台</w:t>
            </w:r>
          </w:p>
        </w:tc>
        <w:tc>
          <w:tcPr>
            <w:tcW w:w="428"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1</w:t>
            </w:r>
          </w:p>
        </w:tc>
        <w:tc>
          <w:tcPr>
            <w:tcW w:w="1927"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含CPU、硬盘、主板、电源、内存及其操作系统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2</w:t>
            </w:r>
          </w:p>
        </w:tc>
        <w:tc>
          <w:tcPr>
            <w:tcW w:w="906"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中心管理服务器</w:t>
            </w:r>
          </w:p>
        </w:tc>
        <w:tc>
          <w:tcPr>
            <w:tcW w:w="891"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宝德PR2510G</w:t>
            </w:r>
          </w:p>
        </w:tc>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台</w:t>
            </w:r>
          </w:p>
        </w:tc>
        <w:tc>
          <w:tcPr>
            <w:tcW w:w="428"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1</w:t>
            </w:r>
          </w:p>
        </w:tc>
        <w:tc>
          <w:tcPr>
            <w:tcW w:w="1927"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含CPU、硬盘、主板、电源、内存及其操作系统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3</w:t>
            </w:r>
          </w:p>
        </w:tc>
        <w:tc>
          <w:tcPr>
            <w:tcW w:w="906"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代理服务器</w:t>
            </w:r>
          </w:p>
        </w:tc>
        <w:tc>
          <w:tcPr>
            <w:tcW w:w="891"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宝德PR2510G</w:t>
            </w:r>
          </w:p>
        </w:tc>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台</w:t>
            </w:r>
          </w:p>
        </w:tc>
        <w:tc>
          <w:tcPr>
            <w:tcW w:w="428"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1</w:t>
            </w:r>
          </w:p>
        </w:tc>
        <w:tc>
          <w:tcPr>
            <w:tcW w:w="1927"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含CPU、硬盘、主板、电源、内存及其操作系统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4</w:t>
            </w:r>
          </w:p>
        </w:tc>
        <w:tc>
          <w:tcPr>
            <w:tcW w:w="906"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综合管理服务器</w:t>
            </w:r>
          </w:p>
        </w:tc>
        <w:tc>
          <w:tcPr>
            <w:tcW w:w="891"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宝德PR2510G</w:t>
            </w:r>
          </w:p>
        </w:tc>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台</w:t>
            </w:r>
          </w:p>
        </w:tc>
        <w:tc>
          <w:tcPr>
            <w:tcW w:w="428"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1</w:t>
            </w:r>
          </w:p>
        </w:tc>
        <w:tc>
          <w:tcPr>
            <w:tcW w:w="1927"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含CPU、硬盘、主板、电源、内存及其操作系统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5</w:t>
            </w:r>
          </w:p>
        </w:tc>
        <w:tc>
          <w:tcPr>
            <w:tcW w:w="906"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综合管理系统</w:t>
            </w:r>
          </w:p>
        </w:tc>
        <w:tc>
          <w:tcPr>
            <w:tcW w:w="891"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海康威视ISC平台</w:t>
            </w:r>
          </w:p>
        </w:tc>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套</w:t>
            </w:r>
          </w:p>
        </w:tc>
        <w:tc>
          <w:tcPr>
            <w:tcW w:w="428"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1</w:t>
            </w:r>
          </w:p>
        </w:tc>
        <w:tc>
          <w:tcPr>
            <w:tcW w:w="1927"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含软件程序及其内部配置信息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6</w:t>
            </w:r>
          </w:p>
        </w:tc>
        <w:tc>
          <w:tcPr>
            <w:tcW w:w="906"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安防平台专用服务器</w:t>
            </w:r>
          </w:p>
        </w:tc>
        <w:tc>
          <w:tcPr>
            <w:tcW w:w="891"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海康威视DS-VE22S-B(310803484)</w:t>
            </w:r>
          </w:p>
        </w:tc>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台</w:t>
            </w:r>
          </w:p>
        </w:tc>
        <w:tc>
          <w:tcPr>
            <w:tcW w:w="428"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1</w:t>
            </w:r>
          </w:p>
        </w:tc>
        <w:tc>
          <w:tcPr>
            <w:tcW w:w="1927" w:type="pct"/>
            <w:shd w:val="clear" w:color="auto" w:fill="auto"/>
            <w:vAlign w:val="center"/>
          </w:tcPr>
          <w:p>
            <w:pPr>
              <w:spacing w:line="240" w:lineRule="auto"/>
              <w:rPr>
                <w:rFonts w:asciiTheme="minorEastAsia" w:hAnsiTheme="minorEastAsia"/>
                <w:sz w:val="21"/>
              </w:rPr>
            </w:pPr>
            <w:r>
              <w:rPr>
                <w:rFonts w:hint="eastAsia" w:asciiTheme="minorEastAsia" w:hAnsiTheme="minorEastAsia"/>
                <w:color w:val="FF0000"/>
                <w:sz w:val="21"/>
              </w:rPr>
              <w:t>1、具备1年质保，由原服务商提供维修服务至2023年11月。</w:t>
            </w:r>
            <w:r>
              <w:rPr>
                <w:rFonts w:hint="eastAsia" w:asciiTheme="minorEastAsia" w:hAnsiTheme="minorEastAsia"/>
                <w:color w:val="FF0000"/>
                <w:sz w:val="21"/>
              </w:rPr>
              <w:br w:type="textWrapping"/>
            </w:r>
            <w:r>
              <w:rPr>
                <w:rFonts w:hint="eastAsia" w:asciiTheme="minorEastAsia" w:hAnsiTheme="minorEastAsia"/>
                <w:color w:val="FF0000"/>
                <w:sz w:val="21"/>
              </w:rPr>
              <w:t>2、其余时间由中标方提供产品维保服务至合同结束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7</w:t>
            </w:r>
          </w:p>
        </w:tc>
        <w:tc>
          <w:tcPr>
            <w:tcW w:w="906"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接入交换机</w:t>
            </w:r>
          </w:p>
        </w:tc>
        <w:tc>
          <w:tcPr>
            <w:tcW w:w="891"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海康威视DS-3E2528-H</w:t>
            </w:r>
          </w:p>
        </w:tc>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台</w:t>
            </w:r>
          </w:p>
        </w:tc>
        <w:tc>
          <w:tcPr>
            <w:tcW w:w="428"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8</w:t>
            </w:r>
          </w:p>
        </w:tc>
        <w:tc>
          <w:tcPr>
            <w:tcW w:w="1927" w:type="pct"/>
            <w:vMerge w:val="restar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1、交换机本体</w:t>
            </w:r>
            <w:r>
              <w:rPr>
                <w:rFonts w:hint="eastAsia" w:asciiTheme="minorEastAsia" w:hAnsiTheme="minorEastAsia"/>
                <w:sz w:val="21"/>
              </w:rPr>
              <w:br w:type="textWrapping"/>
            </w:r>
            <w:r>
              <w:rPr>
                <w:rFonts w:hint="eastAsia" w:asciiTheme="minorEastAsia" w:hAnsiTheme="minorEastAsia"/>
                <w:sz w:val="21"/>
              </w:rPr>
              <w:t>2、交换机内部配置信息</w:t>
            </w:r>
            <w:r>
              <w:rPr>
                <w:rFonts w:hint="eastAsia" w:asciiTheme="minorEastAsia" w:hAnsiTheme="minorEastAsia"/>
                <w:sz w:val="21"/>
              </w:rPr>
              <w:br w:type="textWrapping"/>
            </w:r>
            <w:r>
              <w:rPr>
                <w:rFonts w:hint="eastAsia" w:asciiTheme="minorEastAsia" w:hAnsiTheme="minorEastAsia"/>
                <w:sz w:val="21"/>
              </w:rPr>
              <w:t>3、电源与网络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8</w:t>
            </w:r>
          </w:p>
        </w:tc>
        <w:tc>
          <w:tcPr>
            <w:tcW w:w="906"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核心交换机</w:t>
            </w:r>
          </w:p>
        </w:tc>
        <w:tc>
          <w:tcPr>
            <w:tcW w:w="891"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海康威视DS-3E3754-H</w:t>
            </w:r>
          </w:p>
        </w:tc>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台</w:t>
            </w:r>
          </w:p>
        </w:tc>
        <w:tc>
          <w:tcPr>
            <w:tcW w:w="428"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3</w:t>
            </w:r>
          </w:p>
        </w:tc>
        <w:tc>
          <w:tcPr>
            <w:tcW w:w="1927" w:type="pct"/>
            <w:vMerge w:val="continue"/>
            <w:vAlign w:val="center"/>
          </w:tcPr>
          <w:p>
            <w:pPr>
              <w:spacing w:line="240" w:lineRule="auto"/>
              <w:rPr>
                <w:rFonts w:asciiTheme="minorEastAsia" w:hAnsiTheme="minor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9</w:t>
            </w:r>
          </w:p>
        </w:tc>
        <w:tc>
          <w:tcPr>
            <w:tcW w:w="906"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交换机1</w:t>
            </w:r>
          </w:p>
        </w:tc>
        <w:tc>
          <w:tcPr>
            <w:tcW w:w="891"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海康威视DS-3E2528-H</w:t>
            </w:r>
          </w:p>
        </w:tc>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台</w:t>
            </w:r>
          </w:p>
        </w:tc>
        <w:tc>
          <w:tcPr>
            <w:tcW w:w="428"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2</w:t>
            </w:r>
          </w:p>
        </w:tc>
        <w:tc>
          <w:tcPr>
            <w:tcW w:w="1927" w:type="pct"/>
            <w:vMerge w:val="continue"/>
            <w:vAlign w:val="center"/>
          </w:tcPr>
          <w:p>
            <w:pPr>
              <w:spacing w:line="240" w:lineRule="auto"/>
              <w:rPr>
                <w:rFonts w:asciiTheme="minorEastAsia" w:hAnsiTheme="minor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10</w:t>
            </w:r>
          </w:p>
        </w:tc>
        <w:tc>
          <w:tcPr>
            <w:tcW w:w="906"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交换机2</w:t>
            </w:r>
          </w:p>
        </w:tc>
        <w:tc>
          <w:tcPr>
            <w:tcW w:w="891"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海康威视DS-3E2528-H</w:t>
            </w:r>
          </w:p>
        </w:tc>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台</w:t>
            </w:r>
          </w:p>
        </w:tc>
        <w:tc>
          <w:tcPr>
            <w:tcW w:w="428"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1</w:t>
            </w:r>
          </w:p>
        </w:tc>
        <w:tc>
          <w:tcPr>
            <w:tcW w:w="1927" w:type="pct"/>
            <w:vMerge w:val="continue"/>
            <w:vAlign w:val="center"/>
          </w:tcPr>
          <w:p>
            <w:pPr>
              <w:spacing w:line="240" w:lineRule="auto"/>
              <w:rPr>
                <w:rFonts w:asciiTheme="minorEastAsia" w:hAnsiTheme="minor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11</w:t>
            </w:r>
          </w:p>
        </w:tc>
        <w:tc>
          <w:tcPr>
            <w:tcW w:w="906"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POE交换机</w:t>
            </w:r>
          </w:p>
        </w:tc>
        <w:tc>
          <w:tcPr>
            <w:tcW w:w="891"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16口POE交换机1台、8口交换机1台、4口交换机4台</w:t>
            </w:r>
          </w:p>
        </w:tc>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项</w:t>
            </w:r>
          </w:p>
        </w:tc>
        <w:tc>
          <w:tcPr>
            <w:tcW w:w="428"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1</w:t>
            </w:r>
          </w:p>
        </w:tc>
        <w:tc>
          <w:tcPr>
            <w:tcW w:w="1927" w:type="pct"/>
            <w:shd w:val="clear" w:color="auto" w:fill="auto"/>
            <w:vAlign w:val="center"/>
          </w:tcPr>
          <w:p>
            <w:pPr>
              <w:spacing w:line="240" w:lineRule="auto"/>
              <w:rPr>
                <w:rFonts w:asciiTheme="minorEastAsia" w:hAnsiTheme="minorEastAsia"/>
                <w:sz w:val="21"/>
              </w:rPr>
            </w:pPr>
            <w:r>
              <w:rPr>
                <w:rFonts w:hint="eastAsia" w:asciiTheme="minorEastAsia" w:hAnsiTheme="minorEastAsia"/>
                <w:color w:val="FF0000"/>
                <w:sz w:val="21"/>
              </w:rPr>
              <w:t>1、具备1年质保，由原服务商提供维修服务至2023年11月。</w:t>
            </w:r>
            <w:r>
              <w:rPr>
                <w:rFonts w:hint="eastAsia" w:asciiTheme="minorEastAsia" w:hAnsiTheme="minorEastAsia"/>
                <w:color w:val="FF0000"/>
                <w:sz w:val="21"/>
              </w:rPr>
              <w:br w:type="textWrapping"/>
            </w:r>
            <w:r>
              <w:rPr>
                <w:rFonts w:hint="eastAsia" w:asciiTheme="minorEastAsia" w:hAnsiTheme="minorEastAsia"/>
                <w:color w:val="FF0000"/>
                <w:sz w:val="21"/>
              </w:rPr>
              <w:t>2、其余时间由中标方提供产品维保服务至合同结束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12</w:t>
            </w:r>
          </w:p>
        </w:tc>
        <w:tc>
          <w:tcPr>
            <w:tcW w:w="906"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NVR</w:t>
            </w:r>
          </w:p>
        </w:tc>
        <w:tc>
          <w:tcPr>
            <w:tcW w:w="891"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海康威视DS-96256N-I24</w:t>
            </w:r>
          </w:p>
        </w:tc>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台</w:t>
            </w:r>
          </w:p>
        </w:tc>
        <w:tc>
          <w:tcPr>
            <w:tcW w:w="428"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2</w:t>
            </w:r>
          </w:p>
        </w:tc>
        <w:tc>
          <w:tcPr>
            <w:tcW w:w="1927" w:type="pct"/>
            <w:vMerge w:val="restar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含CPU、硬盘、主板、电源、内存及其操作系统和相关配置信息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13</w:t>
            </w:r>
          </w:p>
        </w:tc>
        <w:tc>
          <w:tcPr>
            <w:tcW w:w="906"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硬盘</w:t>
            </w:r>
          </w:p>
        </w:tc>
        <w:tc>
          <w:tcPr>
            <w:tcW w:w="891"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西部数据WD40PURX</w:t>
            </w:r>
          </w:p>
        </w:tc>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个</w:t>
            </w:r>
          </w:p>
        </w:tc>
        <w:tc>
          <w:tcPr>
            <w:tcW w:w="428"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48</w:t>
            </w:r>
          </w:p>
        </w:tc>
        <w:tc>
          <w:tcPr>
            <w:tcW w:w="1927" w:type="pct"/>
            <w:vMerge w:val="continue"/>
            <w:vAlign w:val="center"/>
          </w:tcPr>
          <w:p>
            <w:pPr>
              <w:spacing w:line="240" w:lineRule="auto"/>
              <w:rPr>
                <w:rFonts w:asciiTheme="minorEastAsia" w:hAnsiTheme="minor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14</w:t>
            </w:r>
          </w:p>
        </w:tc>
        <w:tc>
          <w:tcPr>
            <w:tcW w:w="906"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网络机柜</w:t>
            </w:r>
          </w:p>
        </w:tc>
        <w:tc>
          <w:tcPr>
            <w:tcW w:w="891"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图腾</w:t>
            </w:r>
          </w:p>
        </w:tc>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个</w:t>
            </w:r>
          </w:p>
        </w:tc>
        <w:tc>
          <w:tcPr>
            <w:tcW w:w="428"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2</w:t>
            </w:r>
          </w:p>
        </w:tc>
        <w:tc>
          <w:tcPr>
            <w:tcW w:w="1927"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机柜本体、风扇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15</w:t>
            </w:r>
          </w:p>
        </w:tc>
        <w:tc>
          <w:tcPr>
            <w:tcW w:w="906"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UPS</w:t>
            </w:r>
          </w:p>
        </w:tc>
        <w:tc>
          <w:tcPr>
            <w:tcW w:w="891"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山特C6-10K</w:t>
            </w:r>
          </w:p>
        </w:tc>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套</w:t>
            </w:r>
          </w:p>
        </w:tc>
        <w:tc>
          <w:tcPr>
            <w:tcW w:w="428"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1</w:t>
            </w:r>
          </w:p>
        </w:tc>
        <w:tc>
          <w:tcPr>
            <w:tcW w:w="1927"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含UPS机箱及其配套电池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16</w:t>
            </w:r>
          </w:p>
        </w:tc>
        <w:tc>
          <w:tcPr>
            <w:tcW w:w="906"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空调</w:t>
            </w:r>
          </w:p>
        </w:tc>
        <w:tc>
          <w:tcPr>
            <w:tcW w:w="891"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格力KFR-120LW</w:t>
            </w:r>
          </w:p>
        </w:tc>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台</w:t>
            </w:r>
          </w:p>
        </w:tc>
        <w:tc>
          <w:tcPr>
            <w:tcW w:w="428"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1</w:t>
            </w:r>
          </w:p>
        </w:tc>
        <w:tc>
          <w:tcPr>
            <w:tcW w:w="1927"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空调本体及其制冷剂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17</w:t>
            </w:r>
          </w:p>
        </w:tc>
        <w:tc>
          <w:tcPr>
            <w:tcW w:w="906"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客户端电脑</w:t>
            </w:r>
          </w:p>
        </w:tc>
        <w:tc>
          <w:tcPr>
            <w:tcW w:w="891"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联想扬天M4000e</w:t>
            </w:r>
          </w:p>
        </w:tc>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台</w:t>
            </w:r>
          </w:p>
        </w:tc>
        <w:tc>
          <w:tcPr>
            <w:tcW w:w="428"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1</w:t>
            </w:r>
          </w:p>
        </w:tc>
        <w:tc>
          <w:tcPr>
            <w:tcW w:w="1927"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含CPU、硬盘、主板、电源、内存及其操作系统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18</w:t>
            </w:r>
          </w:p>
        </w:tc>
        <w:tc>
          <w:tcPr>
            <w:tcW w:w="906"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控制主机</w:t>
            </w:r>
          </w:p>
        </w:tc>
        <w:tc>
          <w:tcPr>
            <w:tcW w:w="891"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联想扬天M4000e</w:t>
            </w:r>
          </w:p>
        </w:tc>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台</w:t>
            </w:r>
          </w:p>
        </w:tc>
        <w:tc>
          <w:tcPr>
            <w:tcW w:w="428"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2</w:t>
            </w:r>
          </w:p>
        </w:tc>
        <w:tc>
          <w:tcPr>
            <w:tcW w:w="1927"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含CPU、硬盘、主板、电源、内存及其操作系统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19</w:t>
            </w:r>
          </w:p>
        </w:tc>
        <w:tc>
          <w:tcPr>
            <w:tcW w:w="906"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无线对讲设备</w:t>
            </w:r>
          </w:p>
        </w:tc>
        <w:tc>
          <w:tcPr>
            <w:tcW w:w="891"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海能达BD350</w:t>
            </w:r>
          </w:p>
        </w:tc>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台</w:t>
            </w:r>
          </w:p>
        </w:tc>
        <w:tc>
          <w:tcPr>
            <w:tcW w:w="428"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20</w:t>
            </w:r>
          </w:p>
        </w:tc>
        <w:tc>
          <w:tcPr>
            <w:tcW w:w="1927"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无线设备及其电池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73" w:type="pct"/>
            <w:gridSpan w:val="5"/>
            <w:shd w:val="clear" w:color="000000" w:fill="FFE699"/>
            <w:noWrap/>
            <w:vAlign w:val="center"/>
          </w:tcPr>
          <w:p>
            <w:pPr>
              <w:spacing w:line="240" w:lineRule="auto"/>
              <w:rPr>
                <w:rFonts w:asciiTheme="minorEastAsia" w:hAnsiTheme="minorEastAsia"/>
                <w:sz w:val="21"/>
              </w:rPr>
            </w:pPr>
            <w:r>
              <w:rPr>
                <w:rFonts w:hint="eastAsia" w:asciiTheme="minorEastAsia" w:hAnsiTheme="minorEastAsia"/>
                <w:sz w:val="21"/>
              </w:rPr>
              <w:t>六、软件平台</w:t>
            </w:r>
          </w:p>
        </w:tc>
        <w:tc>
          <w:tcPr>
            <w:tcW w:w="1927" w:type="pct"/>
            <w:shd w:val="clear" w:color="000000" w:fill="FFE699"/>
            <w:vAlign w:val="center"/>
          </w:tcPr>
          <w:p>
            <w:pPr>
              <w:spacing w:line="240" w:lineRule="auto"/>
              <w:rPr>
                <w:rFonts w:asciiTheme="minorEastAsia" w:hAnsiTheme="minorEastAsia"/>
                <w:sz w:val="21"/>
              </w:rPr>
            </w:pPr>
            <w:r>
              <w:rPr>
                <w:rFonts w:hint="eastAsia" w:asciiTheme="minorEastAsia" w:hAnsiTheme="minor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4" w:type="pct"/>
            <w:shd w:val="clear" w:color="auto" w:fill="auto"/>
            <w:vAlign w:val="center"/>
          </w:tcPr>
          <w:p>
            <w:pPr>
              <w:spacing w:line="240" w:lineRule="auto"/>
              <w:rPr>
                <w:rFonts w:asciiTheme="minorEastAsia" w:hAnsiTheme="minorEastAsia"/>
                <w:sz w:val="21"/>
              </w:rPr>
            </w:pPr>
            <w:r>
              <w:rPr>
                <w:rFonts w:asciiTheme="minorEastAsia" w:hAnsiTheme="minorEastAsia"/>
                <w:sz w:val="21"/>
              </w:rPr>
              <w:t>20</w:t>
            </w:r>
          </w:p>
        </w:tc>
        <w:tc>
          <w:tcPr>
            <w:tcW w:w="906"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智能导览系统</w:t>
            </w:r>
          </w:p>
        </w:tc>
        <w:tc>
          <w:tcPr>
            <w:tcW w:w="891"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定制开发</w:t>
            </w:r>
          </w:p>
        </w:tc>
        <w:tc>
          <w:tcPr>
            <w:tcW w:w="424"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套</w:t>
            </w:r>
          </w:p>
        </w:tc>
        <w:tc>
          <w:tcPr>
            <w:tcW w:w="428" w:type="pct"/>
            <w:shd w:val="clear" w:color="auto" w:fill="auto"/>
            <w:vAlign w:val="center"/>
          </w:tcPr>
          <w:p>
            <w:pPr>
              <w:spacing w:line="240" w:lineRule="auto"/>
              <w:rPr>
                <w:rFonts w:asciiTheme="minorEastAsia" w:hAnsiTheme="minorEastAsia"/>
                <w:sz w:val="21"/>
              </w:rPr>
            </w:pPr>
            <w:r>
              <w:rPr>
                <w:rFonts w:asciiTheme="minorEastAsia" w:hAnsiTheme="minorEastAsia"/>
                <w:sz w:val="21"/>
              </w:rPr>
              <w:t>1</w:t>
            </w:r>
          </w:p>
        </w:tc>
        <w:tc>
          <w:tcPr>
            <w:tcW w:w="1927" w:type="pct"/>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维护智能导览系统正常运行。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asciiTheme="minorEastAsia" w:hAnsiTheme="minorEastAsia"/>
                <w:sz w:val="21"/>
              </w:rPr>
            </w:pPr>
            <w:r>
              <w:rPr>
                <w:rFonts w:asciiTheme="minorEastAsia" w:hAnsiTheme="minorEastAsia"/>
                <w:sz w:val="21"/>
              </w:rPr>
              <w:t>21</w:t>
            </w:r>
          </w:p>
        </w:tc>
        <w:tc>
          <w:tcPr>
            <w:tcW w:w="90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展品管理系统</w:t>
            </w:r>
          </w:p>
        </w:tc>
        <w:tc>
          <w:tcPr>
            <w:tcW w:w="89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定制开发</w:t>
            </w:r>
          </w:p>
        </w:tc>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台</w:t>
            </w: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asciiTheme="minorEastAsia" w:hAnsiTheme="minorEastAsia"/>
                <w:sz w:val="21"/>
              </w:rPr>
            </w:pPr>
            <w:r>
              <w:rPr>
                <w:rFonts w:asciiTheme="minorEastAsia" w:hAnsiTheme="minorEastAsia"/>
                <w:sz w:val="21"/>
              </w:rPr>
              <w:t>1</w:t>
            </w:r>
          </w:p>
        </w:tc>
        <w:tc>
          <w:tcPr>
            <w:tcW w:w="192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维护展品管理系统功能正常使用，展品信息相关数字资源、视频、音频资源备份迁移。修复该系统安全漏洞，下线公众号中展品维修管理功能，仅保留PC端维修管理。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asciiTheme="minorEastAsia" w:hAnsiTheme="minorEastAsia"/>
                <w:sz w:val="21"/>
              </w:rPr>
            </w:pPr>
            <w:r>
              <w:rPr>
                <w:rFonts w:asciiTheme="minorEastAsia" w:hAnsiTheme="minorEastAsia"/>
                <w:sz w:val="21"/>
              </w:rPr>
              <w:t>22</w:t>
            </w:r>
          </w:p>
        </w:tc>
        <w:tc>
          <w:tcPr>
            <w:tcW w:w="90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运营管理系统</w:t>
            </w:r>
          </w:p>
        </w:tc>
        <w:tc>
          <w:tcPr>
            <w:tcW w:w="89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定制开发</w:t>
            </w:r>
          </w:p>
        </w:tc>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台</w:t>
            </w: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asciiTheme="minorEastAsia" w:hAnsiTheme="minorEastAsia"/>
                <w:sz w:val="21"/>
              </w:rPr>
            </w:pPr>
            <w:r>
              <w:rPr>
                <w:rFonts w:asciiTheme="minorEastAsia" w:hAnsiTheme="minorEastAsia"/>
                <w:sz w:val="21"/>
              </w:rPr>
              <w:t>1</w:t>
            </w:r>
          </w:p>
        </w:tc>
        <w:tc>
          <w:tcPr>
            <w:tcW w:w="192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asciiTheme="minorEastAsia" w:hAnsiTheme="minorEastAsia"/>
                <w:sz w:val="21"/>
              </w:rPr>
            </w:pPr>
            <w:r>
              <w:rPr>
                <w:rFonts w:hint="eastAsia" w:asciiTheme="minorEastAsia" w:hAnsiTheme="minorEastAsia"/>
                <w:sz w:val="21"/>
              </w:rPr>
              <w:t>维护管理后台正常运行，各类型数据资源、文件资源迁移备份，修复管理后台安全漏洞系统配置等功能。</w:t>
            </w:r>
          </w:p>
        </w:tc>
      </w:tr>
    </w:tbl>
    <w:p>
      <w:pPr>
        <w:pStyle w:val="2"/>
      </w:pPr>
      <w:r>
        <w:rPr>
          <w:rFonts w:hint="eastAsia"/>
        </w:rPr>
        <w:t>服务要求</w:t>
      </w:r>
    </w:p>
    <w:p>
      <w:pPr>
        <w:pStyle w:val="3"/>
      </w:pPr>
      <w:r>
        <w:rPr>
          <w:rFonts w:hint="eastAsia"/>
        </w:rPr>
        <w:t>系统升级服务</w:t>
      </w:r>
      <w:r>
        <w:t>要求</w:t>
      </w:r>
    </w:p>
    <w:p>
      <w:pPr>
        <w:pStyle w:val="10"/>
        <w:ind w:firstLine="480"/>
      </w:pPr>
      <w:r>
        <w:rPr>
          <w:rFonts w:hint="eastAsia"/>
        </w:rPr>
        <w:t>中标方根据宝安</w:t>
      </w:r>
      <w:r>
        <w:t>区政数局的相关规定</w:t>
      </w:r>
      <w:r>
        <w:rPr>
          <w:rFonts w:hint="eastAsia"/>
        </w:rPr>
        <w:t>，</w:t>
      </w:r>
      <w:r>
        <w:t>定制开发相关的</w:t>
      </w:r>
      <w:r>
        <w:rPr>
          <w:rFonts w:hint="eastAsia"/>
        </w:rPr>
        <w:t>观众</w:t>
      </w:r>
      <w:r>
        <w:t>预约系统及建设对应的闸机系统。</w:t>
      </w:r>
      <w:r>
        <w:rPr>
          <w:rFonts w:hint="eastAsia"/>
        </w:rPr>
        <w:t>具体</w:t>
      </w:r>
      <w:r>
        <w:t>要求如下：</w:t>
      </w:r>
    </w:p>
    <w:p>
      <w:pPr>
        <w:pStyle w:val="4"/>
      </w:pPr>
      <w:r>
        <w:rPr>
          <w:rFonts w:hint="eastAsia"/>
        </w:rPr>
        <w:t>定制软件</w:t>
      </w:r>
      <w:r>
        <w:t>部分</w:t>
      </w:r>
    </w:p>
    <w:p>
      <w:pPr>
        <w:pStyle w:val="5"/>
      </w:pPr>
      <w:r>
        <w:rPr>
          <w:rFonts w:hint="eastAsia"/>
        </w:rPr>
        <w:t>访客</w:t>
      </w:r>
      <w:r>
        <w:t>预约</w:t>
      </w:r>
      <w:r>
        <w:rPr>
          <w:rFonts w:hint="eastAsia"/>
        </w:rPr>
        <w:t>小程序</w:t>
      </w:r>
    </w:p>
    <w:p>
      <w:pPr>
        <w:widowControl/>
        <w:numPr>
          <w:ilvl w:val="1"/>
          <w:numId w:val="3"/>
        </w:numPr>
        <w:rPr>
          <w:rFonts w:asciiTheme="minorEastAsia" w:hAnsiTheme="minorEastAsia"/>
        </w:rPr>
      </w:pPr>
      <w:r>
        <w:rPr>
          <w:rFonts w:hint="eastAsia" w:asciiTheme="minorEastAsia" w:hAnsiTheme="minorEastAsia"/>
        </w:rPr>
        <w:t>入馆预约系统升级：</w:t>
      </w:r>
    </w:p>
    <w:p>
      <w:pPr>
        <w:widowControl/>
        <w:numPr>
          <w:ilvl w:val="2"/>
          <w:numId w:val="3"/>
        </w:numPr>
        <w:rPr>
          <w:rFonts w:asciiTheme="minorEastAsia" w:hAnsiTheme="minorEastAsia"/>
        </w:rPr>
      </w:pPr>
      <w:r>
        <w:rPr>
          <w:rFonts w:hint="eastAsia" w:asciiTheme="minorEastAsia" w:hAnsiTheme="minorEastAsia"/>
        </w:rPr>
        <w:t>添加团队预约功能，优化预约时间段，将现有细分的预约时间段整合为上、下午两个时间段。</w:t>
      </w:r>
    </w:p>
    <w:p>
      <w:pPr>
        <w:widowControl/>
        <w:numPr>
          <w:ilvl w:val="2"/>
          <w:numId w:val="3"/>
        </w:numPr>
        <w:rPr>
          <w:rFonts w:asciiTheme="minorEastAsia" w:hAnsiTheme="minorEastAsia"/>
        </w:rPr>
      </w:pPr>
      <w:r>
        <w:rPr>
          <w:rFonts w:hint="eastAsia" w:asciiTheme="minorEastAsia" w:hAnsiTheme="minorEastAsia"/>
        </w:rPr>
        <w:t>取消定位签到功能，升级为刷身份证或预约码入馆和电影检票。</w:t>
      </w:r>
    </w:p>
    <w:p>
      <w:pPr>
        <w:widowControl/>
        <w:numPr>
          <w:ilvl w:val="1"/>
          <w:numId w:val="3"/>
        </w:numPr>
        <w:rPr>
          <w:rFonts w:asciiTheme="minorEastAsia" w:hAnsiTheme="minorEastAsia"/>
        </w:rPr>
      </w:pPr>
      <w:r>
        <w:rPr>
          <w:rFonts w:asciiTheme="minorEastAsia" w:hAnsiTheme="minorEastAsia"/>
        </w:rPr>
        <w:t>预约人数升级：每个账号入馆、观影、课程预约人数系统后台可自行调整；</w:t>
      </w:r>
    </w:p>
    <w:p>
      <w:pPr>
        <w:widowControl/>
        <w:numPr>
          <w:ilvl w:val="1"/>
          <w:numId w:val="3"/>
        </w:numPr>
        <w:rPr>
          <w:rFonts w:asciiTheme="minorEastAsia" w:hAnsiTheme="minorEastAsia"/>
        </w:rPr>
      </w:pPr>
      <w:r>
        <w:rPr>
          <w:rFonts w:hint="eastAsia" w:asciiTheme="minorEastAsia" w:hAnsiTheme="minorEastAsia"/>
        </w:rPr>
        <w:t>系统后台公告功能优化：</w:t>
      </w:r>
    </w:p>
    <w:p>
      <w:pPr>
        <w:widowControl/>
        <w:numPr>
          <w:ilvl w:val="2"/>
          <w:numId w:val="3"/>
        </w:numPr>
        <w:rPr>
          <w:rFonts w:asciiTheme="minorEastAsia" w:hAnsiTheme="minorEastAsia"/>
        </w:rPr>
      </w:pPr>
      <w:r>
        <w:rPr>
          <w:rFonts w:hint="eastAsia" w:asciiTheme="minorEastAsia" w:hAnsiTheme="minorEastAsia"/>
        </w:rPr>
        <w:t>允许更改系统公告的格式和字体颜色。</w:t>
      </w:r>
    </w:p>
    <w:p>
      <w:pPr>
        <w:widowControl/>
        <w:numPr>
          <w:ilvl w:val="1"/>
          <w:numId w:val="3"/>
        </w:numPr>
        <w:rPr>
          <w:rFonts w:asciiTheme="minorEastAsia" w:hAnsiTheme="minorEastAsia"/>
        </w:rPr>
      </w:pPr>
      <w:r>
        <w:rPr>
          <w:rFonts w:hint="eastAsia" w:asciiTheme="minorEastAsia" w:hAnsiTheme="minorEastAsia"/>
        </w:rPr>
        <w:t>影片排期管理：</w:t>
      </w:r>
    </w:p>
    <w:p>
      <w:pPr>
        <w:widowControl/>
        <w:numPr>
          <w:ilvl w:val="2"/>
          <w:numId w:val="3"/>
        </w:numPr>
        <w:rPr>
          <w:rFonts w:asciiTheme="minorEastAsia" w:hAnsiTheme="minorEastAsia"/>
        </w:rPr>
      </w:pPr>
      <w:r>
        <w:rPr>
          <w:rFonts w:hint="eastAsia" w:asciiTheme="minorEastAsia" w:hAnsiTheme="minorEastAsia"/>
        </w:rPr>
        <w:t>添加影片按每天、每周复制的功能。</w:t>
      </w:r>
    </w:p>
    <w:p>
      <w:pPr>
        <w:widowControl/>
        <w:numPr>
          <w:ilvl w:val="2"/>
          <w:numId w:val="3"/>
        </w:numPr>
        <w:rPr>
          <w:rFonts w:asciiTheme="minorEastAsia" w:hAnsiTheme="minorEastAsia"/>
        </w:rPr>
      </w:pPr>
      <w:r>
        <w:rPr>
          <w:rFonts w:hint="eastAsia" w:asciiTheme="minorEastAsia" w:hAnsiTheme="minorEastAsia"/>
        </w:rPr>
        <w:t>允许无需入馆预约即可查看影片的排期和剩余票数。</w:t>
      </w:r>
    </w:p>
    <w:p>
      <w:pPr>
        <w:widowControl/>
        <w:numPr>
          <w:ilvl w:val="1"/>
          <w:numId w:val="3"/>
        </w:numPr>
        <w:rPr>
          <w:rFonts w:asciiTheme="minorEastAsia" w:hAnsiTheme="minorEastAsia"/>
        </w:rPr>
      </w:pPr>
      <w:r>
        <w:rPr>
          <w:rFonts w:hint="eastAsia" w:asciiTheme="minorEastAsia" w:hAnsiTheme="minorEastAsia"/>
        </w:rPr>
        <w:t>取消预约功能优化：</w:t>
      </w:r>
    </w:p>
    <w:p>
      <w:pPr>
        <w:widowControl/>
        <w:numPr>
          <w:ilvl w:val="2"/>
          <w:numId w:val="3"/>
        </w:numPr>
        <w:rPr>
          <w:rFonts w:asciiTheme="minorEastAsia" w:hAnsiTheme="minorEastAsia"/>
        </w:rPr>
      </w:pPr>
      <w:r>
        <w:rPr>
          <w:rFonts w:hint="eastAsia" w:asciiTheme="minorEastAsia" w:hAnsiTheme="minorEastAsia"/>
        </w:rPr>
        <w:t>将一起预约的取消功能升级为可以单独取消，例如预约2人，可以单独取消1人的预约。</w:t>
      </w:r>
    </w:p>
    <w:p>
      <w:pPr>
        <w:widowControl/>
        <w:numPr>
          <w:ilvl w:val="2"/>
          <w:numId w:val="3"/>
        </w:numPr>
        <w:rPr>
          <w:rFonts w:asciiTheme="minorEastAsia" w:hAnsiTheme="minorEastAsia"/>
        </w:rPr>
      </w:pPr>
      <w:r>
        <w:rPr>
          <w:rFonts w:hint="eastAsia" w:asciiTheme="minorEastAsia" w:hAnsiTheme="minorEastAsia"/>
        </w:rPr>
        <w:t>观众预约成功后的取消预约</w:t>
      </w:r>
      <w:r>
        <w:rPr>
          <w:rFonts w:asciiTheme="minorEastAsia" w:hAnsiTheme="minorEastAsia"/>
        </w:rPr>
        <w:t>，</w:t>
      </w:r>
      <w:r>
        <w:rPr>
          <w:rFonts w:hint="eastAsia" w:asciiTheme="minorEastAsia" w:hAnsiTheme="minorEastAsia"/>
        </w:rPr>
        <w:t>后台可以取消观众的预约，包括入馆、影院和课程。</w:t>
      </w:r>
    </w:p>
    <w:p>
      <w:pPr>
        <w:widowControl/>
        <w:numPr>
          <w:ilvl w:val="1"/>
          <w:numId w:val="3"/>
        </w:numPr>
        <w:rPr>
          <w:rFonts w:asciiTheme="minorEastAsia" w:hAnsiTheme="minorEastAsia"/>
        </w:rPr>
      </w:pPr>
      <w:r>
        <w:rPr>
          <w:rFonts w:hint="eastAsia" w:asciiTheme="minorEastAsia" w:hAnsiTheme="minorEastAsia"/>
        </w:rPr>
        <w:t>小程序系统接入i深圳：</w:t>
      </w:r>
    </w:p>
    <w:p>
      <w:pPr>
        <w:widowControl/>
        <w:numPr>
          <w:ilvl w:val="2"/>
          <w:numId w:val="3"/>
        </w:numPr>
        <w:rPr>
          <w:rFonts w:asciiTheme="minorEastAsia" w:hAnsiTheme="minorEastAsia"/>
        </w:rPr>
      </w:pPr>
      <w:r>
        <w:rPr>
          <w:rFonts w:hint="eastAsia" w:asciiTheme="minorEastAsia" w:hAnsiTheme="minorEastAsia"/>
        </w:rPr>
        <w:t>将影院预约系统的小程序接口与i深圳平台对接，方便市民使用。</w:t>
      </w:r>
    </w:p>
    <w:p>
      <w:pPr>
        <w:widowControl/>
        <w:numPr>
          <w:ilvl w:val="2"/>
          <w:numId w:val="3"/>
        </w:numPr>
        <w:rPr>
          <w:rFonts w:asciiTheme="minorEastAsia" w:hAnsiTheme="minorEastAsia"/>
        </w:rPr>
      </w:pPr>
      <w:r>
        <w:rPr>
          <w:rFonts w:hint="eastAsia" w:asciiTheme="minorEastAsia" w:hAnsiTheme="minorEastAsia"/>
        </w:rPr>
        <w:t>须有接入i深圳的成功案例。</w:t>
      </w:r>
    </w:p>
    <w:p>
      <w:pPr>
        <w:widowControl/>
        <w:numPr>
          <w:ilvl w:val="1"/>
          <w:numId w:val="3"/>
        </w:numPr>
        <w:rPr>
          <w:rFonts w:asciiTheme="minorEastAsia" w:hAnsiTheme="minorEastAsia"/>
        </w:rPr>
      </w:pPr>
      <w:r>
        <w:rPr>
          <w:rFonts w:asciiTheme="minorEastAsia" w:hAnsiTheme="minorEastAsia"/>
        </w:rPr>
        <w:t>统计功能升级：</w:t>
      </w:r>
    </w:p>
    <w:p>
      <w:pPr>
        <w:widowControl/>
        <w:numPr>
          <w:ilvl w:val="2"/>
          <w:numId w:val="3"/>
        </w:numPr>
        <w:rPr>
          <w:rFonts w:asciiTheme="minorEastAsia" w:hAnsiTheme="minorEastAsia"/>
        </w:rPr>
      </w:pPr>
      <w:r>
        <w:rPr>
          <w:rFonts w:asciiTheme="minorEastAsia" w:hAnsiTheme="minorEastAsia"/>
        </w:rPr>
        <w:t xml:space="preserve"> 入馆、观影、课程可按日、周、月、年进行人数统计。</w:t>
      </w:r>
    </w:p>
    <w:p>
      <w:pPr>
        <w:widowControl/>
        <w:numPr>
          <w:ilvl w:val="1"/>
          <w:numId w:val="3"/>
        </w:numPr>
        <w:rPr>
          <w:rFonts w:asciiTheme="minorEastAsia" w:hAnsiTheme="minorEastAsia"/>
        </w:rPr>
      </w:pPr>
      <w:r>
        <w:rPr>
          <w:rFonts w:hint="eastAsia" w:asciiTheme="minorEastAsia" w:hAnsiTheme="minorEastAsia"/>
        </w:rPr>
        <w:t>国产化：</w:t>
      </w:r>
    </w:p>
    <w:p>
      <w:pPr>
        <w:widowControl/>
        <w:numPr>
          <w:ilvl w:val="2"/>
          <w:numId w:val="3"/>
        </w:numPr>
        <w:rPr>
          <w:rFonts w:asciiTheme="minorEastAsia" w:hAnsiTheme="minorEastAsia"/>
        </w:rPr>
      </w:pPr>
      <w:r>
        <w:rPr>
          <w:rFonts w:hint="eastAsia" w:asciiTheme="minorEastAsia" w:hAnsiTheme="minorEastAsia"/>
        </w:rPr>
        <w:t>预约管理系统需要支持在国产的操作系统上进行部署安装，操作端也需要支持在国产系统的电脑上进行操作。</w:t>
      </w:r>
    </w:p>
    <w:p>
      <w:pPr>
        <w:widowControl/>
        <w:numPr>
          <w:ilvl w:val="2"/>
          <w:numId w:val="3"/>
        </w:numPr>
        <w:rPr>
          <w:rFonts w:asciiTheme="minorEastAsia" w:hAnsiTheme="minorEastAsia"/>
        </w:rPr>
      </w:pPr>
      <w:r>
        <w:rPr>
          <w:rFonts w:hint="eastAsia" w:asciiTheme="minorEastAsia" w:hAnsiTheme="minorEastAsia"/>
        </w:rPr>
        <w:t>硬件设备需要支持国产。</w:t>
      </w:r>
    </w:p>
    <w:p>
      <w:pPr>
        <w:pStyle w:val="5"/>
      </w:pPr>
      <w:r>
        <w:t>I深圳接入</w:t>
      </w:r>
    </w:p>
    <w:p>
      <w:r>
        <w:rPr>
          <w:rFonts w:hint="eastAsia"/>
        </w:rPr>
        <w:t>要求</w:t>
      </w:r>
      <w:r>
        <w:t>：</w:t>
      </w:r>
    </w:p>
    <w:p>
      <w:r>
        <w:rPr>
          <w:rFonts w:hint="eastAsia"/>
        </w:rPr>
        <w:t>1、配合科技馆</w:t>
      </w:r>
      <w:r>
        <w:t>完成</w:t>
      </w:r>
      <w:r>
        <w:rPr>
          <w:rFonts w:hint="eastAsia"/>
        </w:rPr>
        <w:t>申请开通i深圳开放平台的账号</w:t>
      </w:r>
    </w:p>
    <w:p>
      <w:r>
        <w:rPr>
          <w:rFonts w:hint="eastAsia"/>
        </w:rPr>
        <w:t>2、依据i深圳开放平台进行服务接口对接改造，</w:t>
      </w:r>
      <w:r>
        <w:t>满足</w:t>
      </w:r>
      <w:r>
        <w:rPr>
          <w:rFonts w:hint="eastAsia"/>
        </w:rPr>
        <w:t>宝安科技</w:t>
      </w:r>
      <w:r>
        <w:t>馆在i</w:t>
      </w:r>
      <w:r>
        <w:rPr>
          <w:rFonts w:hint="eastAsia"/>
        </w:rPr>
        <w:t>深圳里</w:t>
      </w:r>
      <w:r>
        <w:t>必须入住的版块</w:t>
      </w:r>
    </w:p>
    <w:p>
      <w:r>
        <w:rPr>
          <w:rFonts w:hint="eastAsia"/>
        </w:rPr>
        <w:t>3、“一次了”网上申报上线</w:t>
      </w:r>
    </w:p>
    <w:p>
      <w:pPr>
        <w:pStyle w:val="5"/>
      </w:pPr>
      <w:r>
        <w:rPr>
          <w:rFonts w:hint="eastAsia"/>
        </w:rPr>
        <w:t>等保</w:t>
      </w:r>
      <w:r>
        <w:t>测评</w:t>
      </w:r>
    </w:p>
    <w:p>
      <w:r>
        <w:rPr>
          <w:rFonts w:hint="eastAsia"/>
        </w:rPr>
        <w:t>配合宝安</w:t>
      </w:r>
      <w:r>
        <w:t>科技馆完成</w:t>
      </w:r>
      <w:r>
        <w:rPr>
          <w:rFonts w:hint="eastAsia"/>
        </w:rPr>
        <w:t>访客</w:t>
      </w:r>
      <w:r>
        <w:t>预约系统在政务云中的安全</w:t>
      </w:r>
      <w:r>
        <w:rPr>
          <w:rFonts w:hint="eastAsia"/>
        </w:rPr>
        <w:t>检测</w:t>
      </w:r>
      <w:r>
        <w:t>、等保测评。</w:t>
      </w:r>
      <w:r>
        <w:rPr>
          <w:rFonts w:hint="eastAsia"/>
        </w:rPr>
        <w:t>如本年度区里面已经有合作的测评机构，无需单独给费用的话，结算时候将扣除此项费用</w:t>
      </w:r>
      <w:r>
        <w:t>。</w:t>
      </w:r>
    </w:p>
    <w:p>
      <w:pPr>
        <w:pStyle w:val="4"/>
      </w:pPr>
      <w:r>
        <w:rPr>
          <w:rFonts w:hint="eastAsia"/>
        </w:rPr>
        <w:t>通行闸机</w:t>
      </w:r>
      <w:r>
        <w:t>系统</w:t>
      </w:r>
    </w:p>
    <w:p>
      <w:r>
        <w:rPr>
          <w:rFonts w:hint="eastAsia"/>
        </w:rPr>
        <w:t>需求</w:t>
      </w:r>
      <w:r>
        <w:t>清单如下表：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2328"/>
        <w:gridCol w:w="1210"/>
        <w:gridCol w:w="978"/>
        <w:gridCol w:w="3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3" w:type="pct"/>
            <w:shd w:val="clear" w:color="000000" w:fill="FFFFFF"/>
            <w:vAlign w:val="center"/>
          </w:tcPr>
          <w:p>
            <w:pPr>
              <w:spacing w:line="276" w:lineRule="auto"/>
              <w:rPr>
                <w:rFonts w:asciiTheme="minorEastAsia" w:hAnsiTheme="minorEastAsia"/>
                <w:sz w:val="21"/>
              </w:rPr>
            </w:pPr>
            <w:r>
              <w:rPr>
                <w:rFonts w:hint="eastAsia" w:asciiTheme="minorEastAsia" w:hAnsiTheme="minorEastAsia"/>
                <w:sz w:val="21"/>
              </w:rPr>
              <w:t>序号</w:t>
            </w:r>
          </w:p>
        </w:tc>
        <w:tc>
          <w:tcPr>
            <w:tcW w:w="1366" w:type="pct"/>
            <w:shd w:val="clear" w:color="000000" w:fill="FFFFFF"/>
            <w:vAlign w:val="center"/>
          </w:tcPr>
          <w:p>
            <w:pPr>
              <w:spacing w:line="276" w:lineRule="auto"/>
              <w:rPr>
                <w:rFonts w:asciiTheme="minorEastAsia" w:hAnsiTheme="minorEastAsia"/>
                <w:sz w:val="21"/>
              </w:rPr>
            </w:pPr>
            <w:r>
              <w:rPr>
                <w:rFonts w:hint="eastAsia" w:asciiTheme="minorEastAsia" w:hAnsiTheme="minorEastAsia"/>
                <w:sz w:val="21"/>
              </w:rPr>
              <w:t>项目</w:t>
            </w:r>
          </w:p>
        </w:tc>
        <w:tc>
          <w:tcPr>
            <w:tcW w:w="710" w:type="pct"/>
            <w:shd w:val="clear" w:color="000000" w:fill="FFFFFF"/>
            <w:vAlign w:val="center"/>
          </w:tcPr>
          <w:p>
            <w:pPr>
              <w:spacing w:line="276" w:lineRule="auto"/>
              <w:rPr>
                <w:rFonts w:asciiTheme="minorEastAsia" w:hAnsiTheme="minorEastAsia"/>
                <w:sz w:val="21"/>
              </w:rPr>
            </w:pPr>
            <w:r>
              <w:rPr>
                <w:rFonts w:hint="eastAsia" w:asciiTheme="minorEastAsia" w:hAnsiTheme="minorEastAsia"/>
                <w:sz w:val="21"/>
              </w:rPr>
              <w:t>单位</w:t>
            </w:r>
          </w:p>
        </w:tc>
        <w:tc>
          <w:tcPr>
            <w:tcW w:w="574" w:type="pct"/>
            <w:shd w:val="clear" w:color="000000" w:fill="FFFFFF"/>
            <w:vAlign w:val="center"/>
          </w:tcPr>
          <w:p>
            <w:pPr>
              <w:spacing w:line="276" w:lineRule="auto"/>
              <w:rPr>
                <w:rFonts w:asciiTheme="minorEastAsia" w:hAnsiTheme="minorEastAsia"/>
                <w:sz w:val="21"/>
              </w:rPr>
            </w:pPr>
            <w:r>
              <w:rPr>
                <w:rFonts w:hint="eastAsia" w:asciiTheme="minorEastAsia" w:hAnsiTheme="minorEastAsia"/>
                <w:sz w:val="21"/>
              </w:rPr>
              <w:t>10</w:t>
            </w:r>
          </w:p>
        </w:tc>
        <w:tc>
          <w:tcPr>
            <w:tcW w:w="1817" w:type="pct"/>
            <w:shd w:val="clear" w:color="000000" w:fill="FFFFFF"/>
            <w:vAlign w:val="center"/>
          </w:tcPr>
          <w:p>
            <w:pPr>
              <w:spacing w:line="276" w:lineRule="auto"/>
              <w:rPr>
                <w:rFonts w:asciiTheme="minorEastAsia" w:hAnsiTheme="minorEastAsia"/>
                <w:sz w:val="21"/>
              </w:rPr>
            </w:pPr>
            <w:r>
              <w:rPr>
                <w:rFonts w:hint="eastAsia" w:asciiTheme="minorEastAsia" w:hAnsiTheme="minorEastAsia"/>
                <w:sz w:val="21"/>
              </w:rPr>
              <w:t>主要</w:t>
            </w:r>
            <w:r>
              <w:rPr>
                <w:rFonts w:asciiTheme="minorEastAsia" w:hAnsiTheme="minorEastAsia"/>
                <w:sz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3" w:type="pct"/>
            <w:shd w:val="clear" w:color="000000" w:fill="FFFFFF"/>
            <w:vAlign w:val="center"/>
          </w:tcPr>
          <w:p>
            <w:pPr>
              <w:spacing w:line="276" w:lineRule="auto"/>
              <w:rPr>
                <w:rFonts w:asciiTheme="minorEastAsia" w:hAnsiTheme="minorEastAsia"/>
                <w:sz w:val="21"/>
              </w:rPr>
            </w:pPr>
            <w:r>
              <w:rPr>
                <w:rFonts w:asciiTheme="minorEastAsia" w:hAnsiTheme="minorEastAsia"/>
                <w:sz w:val="21"/>
              </w:rPr>
              <w:t>1</w:t>
            </w:r>
          </w:p>
        </w:tc>
        <w:tc>
          <w:tcPr>
            <w:tcW w:w="1366" w:type="pct"/>
            <w:shd w:val="clear" w:color="000000" w:fill="FFFFFF"/>
            <w:vAlign w:val="center"/>
          </w:tcPr>
          <w:p>
            <w:pPr>
              <w:spacing w:line="276" w:lineRule="auto"/>
              <w:rPr>
                <w:rFonts w:asciiTheme="minorEastAsia" w:hAnsiTheme="minorEastAsia"/>
                <w:sz w:val="21"/>
              </w:rPr>
            </w:pPr>
            <w:r>
              <w:rPr>
                <w:rFonts w:hint="eastAsia" w:asciiTheme="minorEastAsia" w:hAnsiTheme="minorEastAsia"/>
                <w:sz w:val="21"/>
              </w:rPr>
              <w:t>预约核验终端（嵌入式）</w:t>
            </w:r>
          </w:p>
        </w:tc>
        <w:tc>
          <w:tcPr>
            <w:tcW w:w="710" w:type="pct"/>
            <w:shd w:val="clear" w:color="000000" w:fill="FFFFFF"/>
            <w:vAlign w:val="center"/>
          </w:tcPr>
          <w:p>
            <w:pPr>
              <w:spacing w:line="276" w:lineRule="auto"/>
              <w:rPr>
                <w:rFonts w:asciiTheme="minorEastAsia" w:hAnsiTheme="minorEastAsia"/>
                <w:sz w:val="21"/>
              </w:rPr>
            </w:pPr>
            <w:r>
              <w:rPr>
                <w:rFonts w:hint="eastAsia" w:asciiTheme="minorEastAsia" w:hAnsiTheme="minorEastAsia"/>
                <w:sz w:val="21"/>
              </w:rPr>
              <w:t>套</w:t>
            </w:r>
          </w:p>
        </w:tc>
        <w:tc>
          <w:tcPr>
            <w:tcW w:w="574" w:type="pct"/>
            <w:shd w:val="clear" w:color="000000" w:fill="FFFFFF"/>
            <w:vAlign w:val="center"/>
          </w:tcPr>
          <w:p>
            <w:pPr>
              <w:spacing w:line="276" w:lineRule="auto"/>
              <w:rPr>
                <w:rFonts w:asciiTheme="minorEastAsia" w:hAnsiTheme="minorEastAsia"/>
                <w:sz w:val="21"/>
              </w:rPr>
            </w:pPr>
            <w:r>
              <w:rPr>
                <w:rFonts w:hint="eastAsia" w:asciiTheme="minorEastAsia" w:hAnsiTheme="minorEastAsia"/>
                <w:sz w:val="21"/>
              </w:rPr>
              <w:t>4</w:t>
            </w:r>
          </w:p>
        </w:tc>
        <w:tc>
          <w:tcPr>
            <w:tcW w:w="1817" w:type="pct"/>
            <w:shd w:val="clear" w:color="000000" w:fill="FFFFFF"/>
            <w:vAlign w:val="center"/>
          </w:tcPr>
          <w:p>
            <w:pPr>
              <w:spacing w:line="276" w:lineRule="auto"/>
              <w:rPr>
                <w:rFonts w:asciiTheme="minorEastAsia" w:hAnsiTheme="minorEastAsia"/>
                <w:sz w:val="21"/>
              </w:rPr>
            </w:pPr>
            <w:r>
              <w:rPr>
                <w:rFonts w:hint="eastAsia" w:asciiTheme="minorEastAsia" w:hAnsiTheme="minorEastAsia"/>
                <w:sz w:val="21"/>
              </w:rPr>
              <w:t>1、支持室外防水</w:t>
            </w:r>
          </w:p>
          <w:p>
            <w:pPr>
              <w:spacing w:line="276" w:lineRule="auto"/>
              <w:rPr>
                <w:rFonts w:asciiTheme="minorEastAsia" w:hAnsiTheme="minorEastAsia"/>
                <w:sz w:val="21"/>
              </w:rPr>
            </w:pPr>
            <w:r>
              <w:rPr>
                <w:rFonts w:hint="eastAsia" w:asciiTheme="minorEastAsia" w:hAnsiTheme="minorEastAsia"/>
                <w:sz w:val="21"/>
              </w:rPr>
              <w:t>2、支持抗逆光</w:t>
            </w:r>
          </w:p>
          <w:p>
            <w:pPr>
              <w:spacing w:line="276" w:lineRule="auto"/>
              <w:rPr>
                <w:rFonts w:asciiTheme="minorEastAsia" w:hAnsiTheme="minorEastAsia"/>
                <w:sz w:val="21"/>
              </w:rPr>
            </w:pPr>
            <w:r>
              <w:rPr>
                <w:rFonts w:hint="eastAsia" w:asciiTheme="minorEastAsia" w:hAnsiTheme="minorEastAsia"/>
                <w:sz w:val="21"/>
              </w:rPr>
              <w:t>3、支持防晒</w:t>
            </w:r>
          </w:p>
          <w:p>
            <w:pPr>
              <w:spacing w:line="276" w:lineRule="auto"/>
              <w:rPr>
                <w:rFonts w:asciiTheme="minorEastAsia" w:hAnsiTheme="minorEastAsia"/>
                <w:sz w:val="21"/>
              </w:rPr>
            </w:pPr>
            <w:r>
              <w:rPr>
                <w:rFonts w:hint="eastAsia" w:asciiTheme="minorEastAsia" w:hAnsiTheme="minorEastAsia"/>
                <w:sz w:val="21"/>
              </w:rPr>
              <w:t>4、支持二维码、身份证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3" w:type="pct"/>
            <w:shd w:val="clear" w:color="000000" w:fill="FFFFFF"/>
            <w:vAlign w:val="center"/>
          </w:tcPr>
          <w:p>
            <w:pPr>
              <w:spacing w:line="276" w:lineRule="auto"/>
              <w:rPr>
                <w:rFonts w:asciiTheme="minorEastAsia" w:hAnsiTheme="minorEastAsia"/>
                <w:sz w:val="21"/>
              </w:rPr>
            </w:pPr>
            <w:r>
              <w:rPr>
                <w:rFonts w:asciiTheme="minorEastAsia" w:hAnsiTheme="minorEastAsia"/>
                <w:sz w:val="21"/>
              </w:rPr>
              <w:t>2</w:t>
            </w:r>
          </w:p>
        </w:tc>
        <w:tc>
          <w:tcPr>
            <w:tcW w:w="1366" w:type="pct"/>
            <w:shd w:val="clear" w:color="000000" w:fill="FFFFFF"/>
            <w:vAlign w:val="center"/>
          </w:tcPr>
          <w:p>
            <w:pPr>
              <w:spacing w:line="276" w:lineRule="auto"/>
              <w:rPr>
                <w:rFonts w:asciiTheme="minorEastAsia" w:hAnsiTheme="minorEastAsia"/>
                <w:sz w:val="21"/>
              </w:rPr>
            </w:pPr>
            <w:r>
              <w:rPr>
                <w:rFonts w:hint="eastAsia" w:asciiTheme="minorEastAsia" w:hAnsiTheme="minorEastAsia"/>
                <w:sz w:val="21"/>
              </w:rPr>
              <w:t>速通门（单机芯）</w:t>
            </w:r>
          </w:p>
        </w:tc>
        <w:tc>
          <w:tcPr>
            <w:tcW w:w="710" w:type="pct"/>
            <w:shd w:val="clear" w:color="000000" w:fill="FFFFFF"/>
            <w:vAlign w:val="center"/>
          </w:tcPr>
          <w:p>
            <w:pPr>
              <w:spacing w:line="276" w:lineRule="auto"/>
              <w:rPr>
                <w:rFonts w:asciiTheme="minorEastAsia" w:hAnsiTheme="minorEastAsia"/>
                <w:sz w:val="21"/>
              </w:rPr>
            </w:pPr>
            <w:r>
              <w:rPr>
                <w:rFonts w:hint="eastAsia" w:asciiTheme="minorEastAsia" w:hAnsiTheme="minorEastAsia"/>
                <w:sz w:val="21"/>
              </w:rPr>
              <w:t>台</w:t>
            </w:r>
          </w:p>
        </w:tc>
        <w:tc>
          <w:tcPr>
            <w:tcW w:w="574" w:type="pct"/>
            <w:shd w:val="clear" w:color="000000" w:fill="FFFFFF"/>
            <w:vAlign w:val="center"/>
          </w:tcPr>
          <w:p>
            <w:pPr>
              <w:spacing w:line="276" w:lineRule="auto"/>
              <w:rPr>
                <w:rFonts w:hint="default" w:asciiTheme="minorEastAsia" w:hAnsiTheme="minorEastAsia" w:eastAsiaTheme="minorEastAsia"/>
                <w:sz w:val="21"/>
                <w:lang w:val="en-US" w:eastAsia="zh-CN"/>
              </w:rPr>
            </w:pPr>
            <w:r>
              <w:rPr>
                <w:rFonts w:hint="eastAsia" w:asciiTheme="minorEastAsia" w:hAnsiTheme="minorEastAsia"/>
                <w:sz w:val="21"/>
                <w:lang w:val="en-US" w:eastAsia="zh-CN"/>
              </w:rPr>
              <w:t>10</w:t>
            </w:r>
            <w:bookmarkStart w:id="31" w:name="_GoBack"/>
            <w:bookmarkEnd w:id="31"/>
          </w:p>
        </w:tc>
        <w:tc>
          <w:tcPr>
            <w:tcW w:w="1817" w:type="pct"/>
            <w:shd w:val="clear" w:color="000000" w:fill="FFFFFF"/>
            <w:vAlign w:val="center"/>
          </w:tcPr>
          <w:p>
            <w:pPr>
              <w:spacing w:line="276" w:lineRule="auto"/>
              <w:rPr>
                <w:rFonts w:asciiTheme="minorEastAsia" w:hAnsiTheme="minorEastAsia"/>
                <w:sz w:val="21"/>
              </w:rPr>
            </w:pPr>
            <w:r>
              <w:rPr>
                <w:rFonts w:hint="eastAsia" w:asciiTheme="minorEastAsia" w:hAnsiTheme="minorEastAsia"/>
                <w:sz w:val="21"/>
              </w:rPr>
              <w:t>1、正门两个单通道，一进一出（4台单机芯）</w:t>
            </w:r>
          </w:p>
          <w:p>
            <w:pPr>
              <w:spacing w:line="276" w:lineRule="auto"/>
              <w:rPr>
                <w:rFonts w:asciiTheme="minorEastAsia" w:hAnsiTheme="minorEastAsia"/>
                <w:sz w:val="21"/>
              </w:rPr>
            </w:pPr>
            <w:r>
              <w:rPr>
                <w:rFonts w:hint="eastAsia" w:asciiTheme="minorEastAsia" w:hAnsiTheme="minorEastAsia"/>
                <w:sz w:val="21"/>
              </w:rPr>
              <w:t>2、4D影院入口1个通道（2台单机芯），出口1个通道（2台单机芯）</w:t>
            </w:r>
          </w:p>
          <w:p>
            <w:pPr>
              <w:spacing w:line="276" w:lineRule="auto"/>
              <w:rPr>
                <w:rFonts w:asciiTheme="minorEastAsia" w:hAnsiTheme="minorEastAsia"/>
                <w:sz w:val="21"/>
              </w:rPr>
            </w:pPr>
            <w:r>
              <w:rPr>
                <w:rFonts w:hint="eastAsia" w:asciiTheme="minorEastAsia" w:hAnsiTheme="minorEastAsia"/>
                <w:sz w:val="21"/>
              </w:rPr>
              <w:t>3、球幕入口1个单通道（2台单机芯）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3" w:type="pct"/>
            <w:shd w:val="clear" w:color="000000" w:fill="FFFFFF"/>
            <w:vAlign w:val="center"/>
          </w:tcPr>
          <w:p>
            <w:pPr>
              <w:spacing w:line="276" w:lineRule="auto"/>
              <w:rPr>
                <w:rFonts w:asciiTheme="minorEastAsia" w:hAnsiTheme="minorEastAsia"/>
                <w:sz w:val="21"/>
              </w:rPr>
            </w:pPr>
            <w:r>
              <w:rPr>
                <w:rFonts w:hint="eastAsia" w:asciiTheme="minorEastAsia" w:hAnsiTheme="minorEastAsia"/>
                <w:sz w:val="21"/>
              </w:rPr>
              <w:t>3</w:t>
            </w:r>
          </w:p>
        </w:tc>
        <w:tc>
          <w:tcPr>
            <w:tcW w:w="1366" w:type="pct"/>
            <w:shd w:val="clear" w:color="000000" w:fill="FFFFFF"/>
            <w:vAlign w:val="center"/>
          </w:tcPr>
          <w:p>
            <w:pPr>
              <w:spacing w:line="276" w:lineRule="auto"/>
              <w:rPr>
                <w:rFonts w:asciiTheme="minorEastAsia" w:hAnsiTheme="minorEastAsia"/>
                <w:sz w:val="21"/>
              </w:rPr>
            </w:pPr>
            <w:r>
              <w:rPr>
                <w:rFonts w:hint="eastAsia" w:asciiTheme="minorEastAsia" w:hAnsiTheme="minorEastAsia"/>
                <w:sz w:val="21"/>
              </w:rPr>
              <w:t>闸机平台管理软件</w:t>
            </w:r>
          </w:p>
        </w:tc>
        <w:tc>
          <w:tcPr>
            <w:tcW w:w="710" w:type="pct"/>
            <w:shd w:val="clear" w:color="000000" w:fill="FFFFFF"/>
            <w:vAlign w:val="center"/>
          </w:tcPr>
          <w:p>
            <w:pPr>
              <w:spacing w:line="276" w:lineRule="auto"/>
              <w:rPr>
                <w:rFonts w:asciiTheme="minorEastAsia" w:hAnsiTheme="minorEastAsia"/>
                <w:sz w:val="21"/>
              </w:rPr>
            </w:pPr>
            <w:r>
              <w:rPr>
                <w:rFonts w:hint="eastAsia" w:asciiTheme="minorEastAsia" w:hAnsiTheme="minorEastAsia"/>
                <w:sz w:val="21"/>
              </w:rPr>
              <w:t>套</w:t>
            </w:r>
          </w:p>
        </w:tc>
        <w:tc>
          <w:tcPr>
            <w:tcW w:w="574" w:type="pct"/>
            <w:shd w:val="clear" w:color="000000" w:fill="FFFFFF"/>
            <w:vAlign w:val="center"/>
          </w:tcPr>
          <w:p>
            <w:pPr>
              <w:spacing w:line="276" w:lineRule="auto"/>
              <w:rPr>
                <w:rFonts w:asciiTheme="minorEastAsia" w:hAnsiTheme="minorEastAsia"/>
                <w:sz w:val="21"/>
              </w:rPr>
            </w:pPr>
            <w:r>
              <w:rPr>
                <w:rFonts w:hint="eastAsia" w:asciiTheme="minorEastAsia" w:hAnsiTheme="minorEastAsia"/>
                <w:sz w:val="21"/>
              </w:rPr>
              <w:t>1</w:t>
            </w:r>
          </w:p>
        </w:tc>
        <w:tc>
          <w:tcPr>
            <w:tcW w:w="1817" w:type="pct"/>
            <w:shd w:val="clear" w:color="000000" w:fill="FFFFFF"/>
            <w:vAlign w:val="center"/>
          </w:tcPr>
          <w:p>
            <w:pPr>
              <w:spacing w:line="276" w:lineRule="auto"/>
              <w:rPr>
                <w:rFonts w:asciiTheme="minorEastAsia" w:hAnsiTheme="minorEastAsia"/>
                <w:sz w:val="21"/>
              </w:rPr>
            </w:pPr>
            <w:r>
              <w:rPr>
                <w:rFonts w:hint="eastAsia" w:asciiTheme="minorEastAsia" w:hAnsiTheme="minorEastAsia"/>
                <w:sz w:val="21"/>
              </w:rPr>
              <w:t>要求识别二维码</w:t>
            </w:r>
            <w:r>
              <w:rPr>
                <w:rFonts w:asciiTheme="minorEastAsia" w:hAnsiTheme="minorEastAsia"/>
                <w:sz w:val="21"/>
              </w:rPr>
              <w:t>、身份证</w:t>
            </w:r>
            <w:r>
              <w:rPr>
                <w:rFonts w:hint="eastAsia" w:asciiTheme="minorEastAsia" w:hAnsiTheme="minorEastAsia"/>
                <w:sz w:val="21"/>
              </w:rPr>
              <w:t>，</w:t>
            </w:r>
            <w:r>
              <w:rPr>
                <w:rFonts w:asciiTheme="minorEastAsia" w:hAnsiTheme="minorEastAsia"/>
                <w:sz w:val="21"/>
              </w:rPr>
              <w:t>进行闸机</w:t>
            </w:r>
            <w:r>
              <w:rPr>
                <w:rFonts w:hint="eastAsia" w:asciiTheme="minorEastAsia" w:hAnsiTheme="minorEastAsia"/>
                <w:sz w:val="21"/>
              </w:rPr>
              <w:t>管理</w:t>
            </w:r>
            <w:r>
              <w:rPr>
                <w:rFonts w:asciiTheme="minorEastAsia" w:hAnsiTheme="minorEastAsia"/>
                <w:sz w:val="21"/>
              </w:rPr>
              <w:t>及控制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3" w:type="pct"/>
            <w:shd w:val="clear" w:color="000000" w:fill="FFFFFF"/>
            <w:vAlign w:val="center"/>
          </w:tcPr>
          <w:p>
            <w:pPr>
              <w:spacing w:line="276" w:lineRule="auto"/>
              <w:rPr>
                <w:rFonts w:asciiTheme="minorEastAsia" w:hAnsiTheme="minorEastAsia"/>
                <w:sz w:val="21"/>
              </w:rPr>
            </w:pPr>
            <w:r>
              <w:rPr>
                <w:rFonts w:asciiTheme="minorEastAsia" w:hAnsiTheme="minorEastAsia"/>
                <w:sz w:val="21"/>
              </w:rPr>
              <w:t>4</w:t>
            </w:r>
          </w:p>
        </w:tc>
        <w:tc>
          <w:tcPr>
            <w:tcW w:w="1366" w:type="pct"/>
            <w:shd w:val="clear" w:color="000000" w:fill="FFFFFF"/>
            <w:vAlign w:val="center"/>
          </w:tcPr>
          <w:p>
            <w:pPr>
              <w:spacing w:line="276" w:lineRule="auto"/>
              <w:rPr>
                <w:rFonts w:asciiTheme="minorEastAsia" w:hAnsiTheme="minorEastAsia"/>
                <w:sz w:val="21"/>
              </w:rPr>
            </w:pPr>
            <w:r>
              <w:rPr>
                <w:rFonts w:hint="eastAsia" w:asciiTheme="minorEastAsia" w:hAnsiTheme="minorEastAsia"/>
                <w:sz w:val="21"/>
              </w:rPr>
              <w:t>玻璃围栏</w:t>
            </w:r>
          </w:p>
        </w:tc>
        <w:tc>
          <w:tcPr>
            <w:tcW w:w="710" w:type="pct"/>
            <w:shd w:val="clear" w:color="000000" w:fill="FFFFFF"/>
            <w:vAlign w:val="center"/>
          </w:tcPr>
          <w:p>
            <w:pPr>
              <w:spacing w:line="276" w:lineRule="auto"/>
              <w:rPr>
                <w:rFonts w:asciiTheme="minorEastAsia" w:hAnsiTheme="minorEastAsia"/>
                <w:sz w:val="21"/>
              </w:rPr>
            </w:pPr>
            <w:r>
              <w:rPr>
                <w:rFonts w:hint="eastAsia" w:asciiTheme="minorEastAsia" w:hAnsiTheme="minorEastAsia"/>
                <w:sz w:val="21"/>
              </w:rPr>
              <w:t>米</w:t>
            </w:r>
          </w:p>
        </w:tc>
        <w:tc>
          <w:tcPr>
            <w:tcW w:w="574" w:type="pct"/>
            <w:shd w:val="clear" w:color="000000" w:fill="FFFFFF"/>
            <w:vAlign w:val="center"/>
          </w:tcPr>
          <w:p>
            <w:pPr>
              <w:spacing w:line="276" w:lineRule="auto"/>
              <w:rPr>
                <w:rFonts w:asciiTheme="minorEastAsia" w:hAnsiTheme="minorEastAsia"/>
                <w:sz w:val="21"/>
              </w:rPr>
            </w:pPr>
            <w:r>
              <w:rPr>
                <w:rFonts w:hint="eastAsia" w:asciiTheme="minorEastAsia" w:hAnsiTheme="minorEastAsia"/>
                <w:sz w:val="21"/>
              </w:rPr>
              <w:t>10</w:t>
            </w:r>
          </w:p>
        </w:tc>
        <w:tc>
          <w:tcPr>
            <w:tcW w:w="1817" w:type="pct"/>
            <w:shd w:val="clear" w:color="000000" w:fill="FFFFFF"/>
            <w:vAlign w:val="center"/>
          </w:tcPr>
          <w:p>
            <w:pPr>
              <w:spacing w:line="276" w:lineRule="auto"/>
              <w:rPr>
                <w:rFonts w:asciiTheme="minorEastAsia" w:hAnsiTheme="minorEastAsia"/>
                <w:sz w:val="21"/>
              </w:rPr>
            </w:pPr>
          </w:p>
        </w:tc>
      </w:tr>
    </w:tbl>
    <w:p>
      <w:r>
        <w:rPr>
          <w:rFonts w:hint="eastAsia"/>
        </w:rPr>
        <w:t>以上</w:t>
      </w:r>
      <w:r>
        <w:t>设备含人工安装费用、税务</w:t>
      </w:r>
      <w:r>
        <w:rPr>
          <w:rFonts w:hint="eastAsia"/>
        </w:rPr>
        <w:t>、</w:t>
      </w:r>
      <w:r>
        <w:t>运输费等，为一次性包干价</w:t>
      </w:r>
      <w:r>
        <w:rPr>
          <w:rFonts w:hint="eastAsia"/>
        </w:rPr>
        <w:t>。</w:t>
      </w:r>
    </w:p>
    <w:p/>
    <w:p>
      <w:r>
        <w:rPr>
          <w:rFonts w:hint="eastAsia"/>
        </w:rPr>
        <w:t>主要</w:t>
      </w:r>
      <w:r>
        <w:t>产品技术</w:t>
      </w:r>
      <w:r>
        <w:rPr>
          <w:rFonts w:hint="eastAsia"/>
        </w:rPr>
        <w:t>参数</w:t>
      </w:r>
      <w:r>
        <w:t>要求如下：</w:t>
      </w:r>
    </w:p>
    <w:p>
      <w:pPr>
        <w:pStyle w:val="10"/>
        <w:numPr>
          <w:ilvl w:val="0"/>
          <w:numId w:val="4"/>
        </w:numPr>
        <w:ind w:firstLineChars="0"/>
        <w:rPr>
          <w:b/>
        </w:rPr>
      </w:pPr>
      <w:r>
        <w:rPr>
          <w:rFonts w:hint="eastAsia"/>
          <w:b/>
        </w:rPr>
        <w:t>预约核验终端</w:t>
      </w:r>
    </w:p>
    <w:p>
      <w:pPr>
        <w:pStyle w:val="10"/>
        <w:numPr>
          <w:ilvl w:val="0"/>
          <w:numId w:val="5"/>
        </w:numPr>
        <w:ind w:firstLineChars="0"/>
        <w:rPr>
          <w:b/>
        </w:rPr>
      </w:pPr>
      <w:r>
        <w:rPr>
          <w:b/>
        </w:rPr>
        <w:t>产品功能：</w:t>
      </w:r>
    </w:p>
    <w:p>
      <w:pPr>
        <w:pStyle w:val="10"/>
        <w:numPr>
          <w:ilvl w:val="0"/>
          <w:numId w:val="6"/>
        </w:numPr>
        <w:ind w:firstLineChars="0"/>
      </w:pPr>
      <w:r>
        <w:rPr>
          <w:rFonts w:hint="eastAsia"/>
        </w:rPr>
        <w:t xml:space="preserve">能扫描实时获取预约码状态。 </w:t>
      </w:r>
    </w:p>
    <w:p>
      <w:pPr>
        <w:pStyle w:val="10"/>
        <w:numPr>
          <w:ilvl w:val="0"/>
          <w:numId w:val="6"/>
        </w:numPr>
        <w:ind w:firstLineChars="0"/>
      </w:pPr>
      <w:r>
        <w:rPr>
          <w:rFonts w:hint="eastAsia"/>
        </w:rPr>
        <w:t xml:space="preserve">读取身份证获取预约状态。 </w:t>
      </w:r>
    </w:p>
    <w:p>
      <w:pPr>
        <w:pStyle w:val="10"/>
        <w:numPr>
          <w:ilvl w:val="0"/>
          <w:numId w:val="6"/>
        </w:numPr>
        <w:ind w:firstLineChars="0"/>
      </w:pPr>
      <w:r>
        <w:rPr>
          <w:rFonts w:hint="eastAsia"/>
        </w:rPr>
        <w:t xml:space="preserve">预约数据实时更新，含个人身份信息记录。 </w:t>
      </w:r>
    </w:p>
    <w:p>
      <w:pPr>
        <w:pStyle w:val="10"/>
        <w:numPr>
          <w:ilvl w:val="0"/>
          <w:numId w:val="6"/>
        </w:numPr>
        <w:ind w:firstLineChars="0"/>
      </w:pPr>
      <w:r>
        <w:rPr>
          <w:rFonts w:hint="eastAsia"/>
        </w:rPr>
        <w:t xml:space="preserve">白名单功能，只允许白名单人员入内 </w:t>
      </w:r>
    </w:p>
    <w:p>
      <w:pPr>
        <w:pStyle w:val="10"/>
        <w:numPr>
          <w:ilvl w:val="0"/>
          <w:numId w:val="6"/>
        </w:numPr>
        <w:ind w:firstLineChars="0"/>
      </w:pPr>
      <w:r>
        <w:rPr>
          <w:rFonts w:hint="eastAsia"/>
        </w:rPr>
        <w:t>异常告警：预约记录不满足要求告警</w:t>
      </w:r>
    </w:p>
    <w:p>
      <w:pPr>
        <w:pStyle w:val="10"/>
        <w:numPr>
          <w:ilvl w:val="0"/>
          <w:numId w:val="5"/>
        </w:numPr>
        <w:ind w:firstLineChars="0"/>
        <w:rPr>
          <w:b/>
        </w:rPr>
      </w:pPr>
      <w:r>
        <w:rPr>
          <w:b/>
        </w:rPr>
        <w:t xml:space="preserve">技术参数 </w:t>
      </w:r>
    </w:p>
    <w:p>
      <w:pPr>
        <w:pStyle w:val="10"/>
        <w:numPr>
          <w:ilvl w:val="0"/>
          <w:numId w:val="6"/>
        </w:numPr>
        <w:ind w:firstLineChars="0"/>
      </w:pPr>
      <w:r>
        <w:rPr>
          <w:rFonts w:hint="eastAsia"/>
        </w:rPr>
        <w:t xml:space="preserve">白平衡 ：自动 </w:t>
      </w:r>
    </w:p>
    <w:p>
      <w:pPr>
        <w:pStyle w:val="10"/>
        <w:numPr>
          <w:ilvl w:val="0"/>
          <w:numId w:val="6"/>
        </w:numPr>
        <w:ind w:firstLineChars="0"/>
      </w:pPr>
      <w:r>
        <w:rPr>
          <w:rFonts w:hint="eastAsia"/>
        </w:rPr>
        <w:t xml:space="preserve">处理器 ：CPU  </w:t>
      </w:r>
      <w:r>
        <w:rPr>
          <w:rFonts w:hint="eastAsia" w:asciiTheme="minorEastAsia" w:hAnsiTheme="minorEastAsia"/>
        </w:rPr>
        <w:t>≥</w:t>
      </w:r>
      <w:r>
        <w:rPr>
          <w:rFonts w:hint="eastAsia"/>
        </w:rPr>
        <w:t xml:space="preserve">四核 </w:t>
      </w:r>
    </w:p>
    <w:p>
      <w:pPr>
        <w:pStyle w:val="10"/>
        <w:numPr>
          <w:ilvl w:val="0"/>
          <w:numId w:val="6"/>
        </w:numPr>
        <w:ind w:firstLineChars="0"/>
      </w:pPr>
      <w:r>
        <w:rPr>
          <w:rFonts w:hint="eastAsia"/>
        </w:rPr>
        <w:t>内存DDR ：</w:t>
      </w:r>
      <w:r>
        <w:rPr>
          <w:rFonts w:hint="eastAsia" w:asciiTheme="minorEastAsia" w:hAnsiTheme="minorEastAsia"/>
        </w:rPr>
        <w:t>≥</w:t>
      </w:r>
      <w:r>
        <w:rPr>
          <w:rFonts w:hint="eastAsia"/>
        </w:rPr>
        <w:t xml:space="preserve">2G </w:t>
      </w:r>
    </w:p>
    <w:p>
      <w:pPr>
        <w:pStyle w:val="10"/>
        <w:numPr>
          <w:ilvl w:val="0"/>
          <w:numId w:val="6"/>
        </w:numPr>
        <w:ind w:firstLineChars="0"/>
      </w:pPr>
      <w:r>
        <w:rPr>
          <w:rFonts w:hint="eastAsia"/>
        </w:rPr>
        <w:t>存储EMMC ：</w:t>
      </w:r>
      <w:r>
        <w:rPr>
          <w:rFonts w:hint="eastAsia" w:asciiTheme="minorEastAsia" w:hAnsiTheme="minorEastAsia"/>
        </w:rPr>
        <w:t>≥</w:t>
      </w:r>
      <w:r>
        <w:rPr>
          <w:rFonts w:hint="eastAsia"/>
        </w:rPr>
        <w:t xml:space="preserve">8G </w:t>
      </w:r>
    </w:p>
    <w:p>
      <w:pPr>
        <w:pStyle w:val="10"/>
        <w:numPr>
          <w:ilvl w:val="0"/>
          <w:numId w:val="6"/>
        </w:numPr>
        <w:ind w:firstLineChars="0"/>
      </w:pPr>
      <w:r>
        <w:rPr>
          <w:rFonts w:hint="eastAsia"/>
        </w:rPr>
        <w:t xml:space="preserve">接口 ：网络模块 </w:t>
      </w:r>
    </w:p>
    <w:p>
      <w:pPr>
        <w:pStyle w:val="10"/>
        <w:numPr>
          <w:ilvl w:val="0"/>
          <w:numId w:val="6"/>
        </w:numPr>
        <w:ind w:firstLineChars="0"/>
      </w:pPr>
      <w:r>
        <w:rPr>
          <w:rFonts w:hint="eastAsia"/>
        </w:rPr>
        <w:t xml:space="preserve">支持以太网、无线（WIFI）、内置4G模组（选配） </w:t>
      </w:r>
    </w:p>
    <w:p>
      <w:pPr>
        <w:pStyle w:val="10"/>
        <w:numPr>
          <w:ilvl w:val="0"/>
          <w:numId w:val="6"/>
        </w:numPr>
        <w:ind w:firstLineChars="0"/>
      </w:pPr>
      <w:r>
        <w:rPr>
          <w:rFonts w:hint="eastAsia"/>
        </w:rPr>
        <w:t xml:space="preserve">电源接口 ：DC12V </w:t>
      </w:r>
    </w:p>
    <w:p>
      <w:pPr>
        <w:pStyle w:val="10"/>
        <w:numPr>
          <w:ilvl w:val="0"/>
          <w:numId w:val="6"/>
        </w:numPr>
        <w:ind w:firstLineChars="0"/>
      </w:pPr>
      <w:r>
        <w:rPr>
          <w:rFonts w:hint="eastAsia"/>
        </w:rPr>
        <w:t xml:space="preserve">USB接口 ：1路USB OTG，１路USB HOST </w:t>
      </w:r>
    </w:p>
    <w:p>
      <w:pPr>
        <w:pStyle w:val="10"/>
        <w:numPr>
          <w:ilvl w:val="0"/>
          <w:numId w:val="6"/>
        </w:numPr>
        <w:ind w:firstLineChars="0"/>
      </w:pPr>
      <w:r>
        <w:rPr>
          <w:rFonts w:hint="eastAsia"/>
        </w:rPr>
        <w:t>继电器输出 ：</w:t>
      </w:r>
      <w:r>
        <w:rPr>
          <w:rFonts w:hint="eastAsia" w:asciiTheme="minorEastAsia" w:hAnsiTheme="minorEastAsia"/>
        </w:rPr>
        <w:t>≥</w:t>
      </w:r>
      <w:r>
        <w:rPr>
          <w:rFonts w:hint="eastAsia"/>
        </w:rPr>
        <w:t xml:space="preserve">1路开门信号输出 </w:t>
      </w:r>
    </w:p>
    <w:p>
      <w:pPr>
        <w:pStyle w:val="10"/>
        <w:numPr>
          <w:ilvl w:val="0"/>
          <w:numId w:val="6"/>
        </w:numPr>
        <w:ind w:firstLineChars="0"/>
      </w:pPr>
      <w:r>
        <w:rPr>
          <w:rFonts w:hint="eastAsia"/>
        </w:rPr>
        <w:t xml:space="preserve">网络接口 ：1个RJ45 10M/100M自适应以太网口，WIFI，4G </w:t>
      </w:r>
    </w:p>
    <w:p>
      <w:pPr>
        <w:pStyle w:val="10"/>
        <w:numPr>
          <w:ilvl w:val="0"/>
          <w:numId w:val="6"/>
        </w:numPr>
        <w:ind w:firstLineChars="0"/>
      </w:pPr>
      <w:r>
        <w:rPr>
          <w:rFonts w:hint="eastAsia"/>
        </w:rPr>
        <w:t>功能 ：刷卡器 (可选 IC、ID、NFC、身份证阅读器等 )</w:t>
      </w:r>
    </w:p>
    <w:p>
      <w:pPr>
        <w:pStyle w:val="10"/>
        <w:numPr>
          <w:ilvl w:val="0"/>
          <w:numId w:val="6"/>
        </w:numPr>
        <w:ind w:firstLineChars="0"/>
      </w:pPr>
      <w:r>
        <w:rPr>
          <w:rFonts w:hint="eastAsia"/>
        </w:rPr>
        <w:t xml:space="preserve">支持 ：设备远程升级 </w:t>
      </w:r>
    </w:p>
    <w:p>
      <w:pPr>
        <w:pStyle w:val="10"/>
        <w:numPr>
          <w:ilvl w:val="0"/>
          <w:numId w:val="6"/>
        </w:numPr>
        <w:ind w:firstLineChars="0"/>
      </w:pPr>
      <w:r>
        <w:rPr>
          <w:rFonts w:hint="eastAsia"/>
        </w:rPr>
        <w:t xml:space="preserve">设备接口 :接口包括设备管理、人员/照片管理、记录查询等 </w:t>
      </w:r>
    </w:p>
    <w:p>
      <w:pPr>
        <w:pStyle w:val="10"/>
        <w:numPr>
          <w:ilvl w:val="0"/>
          <w:numId w:val="6"/>
        </w:numPr>
        <w:ind w:firstLineChars="0"/>
      </w:pPr>
      <w:r>
        <w:rPr>
          <w:rFonts w:hint="eastAsia"/>
        </w:rPr>
        <w:t xml:space="preserve">部署方式 ：支持公有云部署、私有化部署、局域网使用、单机使用  </w:t>
      </w:r>
    </w:p>
    <w:p>
      <w:pPr>
        <w:pStyle w:val="10"/>
        <w:numPr>
          <w:ilvl w:val="0"/>
          <w:numId w:val="5"/>
        </w:numPr>
        <w:ind w:firstLineChars="0"/>
        <w:rPr>
          <w:b/>
        </w:rPr>
      </w:pPr>
      <w:r>
        <w:rPr>
          <w:rFonts w:hint="eastAsia"/>
          <w:b/>
        </w:rPr>
        <w:t xml:space="preserve">常规参数 </w:t>
      </w:r>
    </w:p>
    <w:p>
      <w:pPr>
        <w:pStyle w:val="10"/>
        <w:numPr>
          <w:ilvl w:val="0"/>
          <w:numId w:val="6"/>
        </w:numPr>
        <w:ind w:firstLineChars="0"/>
      </w:pPr>
      <w:r>
        <w:rPr>
          <w:rFonts w:hint="eastAsia"/>
        </w:rPr>
        <w:t>防护等级 ：</w:t>
      </w:r>
      <w:r>
        <w:rPr>
          <w:rFonts w:hint="eastAsia" w:asciiTheme="minorEastAsia" w:hAnsiTheme="minorEastAsia"/>
        </w:rPr>
        <w:t>≥</w:t>
      </w:r>
      <w:r>
        <w:rPr>
          <w:rFonts w:hint="eastAsia"/>
        </w:rPr>
        <w:t xml:space="preserve">IP65 </w:t>
      </w:r>
    </w:p>
    <w:p>
      <w:pPr>
        <w:pStyle w:val="10"/>
        <w:numPr>
          <w:ilvl w:val="0"/>
          <w:numId w:val="6"/>
        </w:numPr>
        <w:ind w:firstLineChars="0"/>
      </w:pPr>
      <w:r>
        <w:rPr>
          <w:rFonts w:hint="eastAsia"/>
        </w:rPr>
        <w:t xml:space="preserve">电源 ：DC12V（±10%） </w:t>
      </w:r>
    </w:p>
    <w:p>
      <w:pPr>
        <w:pStyle w:val="10"/>
        <w:numPr>
          <w:ilvl w:val="0"/>
          <w:numId w:val="6"/>
        </w:numPr>
        <w:ind w:firstLineChars="0"/>
      </w:pPr>
      <w:r>
        <w:rPr>
          <w:rFonts w:hint="eastAsia"/>
        </w:rPr>
        <w:t xml:space="preserve">工作温度 ：-20℃~60℃（不含测温模块） </w:t>
      </w:r>
    </w:p>
    <w:p>
      <w:pPr>
        <w:pStyle w:val="10"/>
        <w:numPr>
          <w:ilvl w:val="0"/>
          <w:numId w:val="6"/>
        </w:numPr>
        <w:ind w:firstLineChars="0"/>
      </w:pPr>
      <w:r>
        <w:rPr>
          <w:rFonts w:hint="eastAsia"/>
        </w:rPr>
        <w:t xml:space="preserve">储存温度 ：-30℃~50℃ </w:t>
      </w:r>
    </w:p>
    <w:p>
      <w:pPr>
        <w:pStyle w:val="10"/>
        <w:numPr>
          <w:ilvl w:val="0"/>
          <w:numId w:val="6"/>
        </w:numPr>
        <w:ind w:firstLineChars="0"/>
      </w:pPr>
      <w:r>
        <w:rPr>
          <w:rFonts w:hint="eastAsia"/>
        </w:rPr>
        <w:t>功耗 ：</w:t>
      </w:r>
      <w:r>
        <w:rPr>
          <w:rFonts w:hint="eastAsia" w:asciiTheme="minorEastAsia" w:hAnsiTheme="minorEastAsia"/>
        </w:rPr>
        <w:t>≤</w:t>
      </w:r>
      <w:r>
        <w:rPr>
          <w:rFonts w:hint="eastAsia"/>
        </w:rPr>
        <w:t xml:space="preserve">13.5W（Max） </w:t>
      </w:r>
    </w:p>
    <w:p>
      <w:pPr>
        <w:pStyle w:val="10"/>
        <w:numPr>
          <w:ilvl w:val="0"/>
          <w:numId w:val="6"/>
        </w:numPr>
        <w:ind w:firstLineChars="0"/>
      </w:pPr>
      <w:r>
        <w:rPr>
          <w:rFonts w:hint="eastAsia"/>
        </w:rPr>
        <w:t xml:space="preserve">安装方式 ：壁挂式安装或立柱式安装 </w:t>
      </w:r>
    </w:p>
    <w:p>
      <w:pPr>
        <w:pStyle w:val="10"/>
        <w:numPr>
          <w:ilvl w:val="0"/>
          <w:numId w:val="6"/>
        </w:numPr>
        <w:ind w:firstLineChars="0"/>
      </w:pPr>
      <w:r>
        <w:rPr>
          <w:rFonts w:hint="eastAsia"/>
        </w:rPr>
        <w:t xml:space="preserve">静电等级 静电等级 </w:t>
      </w:r>
    </w:p>
    <w:p>
      <w:pPr>
        <w:pStyle w:val="10"/>
        <w:numPr>
          <w:ilvl w:val="0"/>
          <w:numId w:val="4"/>
        </w:numPr>
        <w:ind w:firstLineChars="0"/>
        <w:rPr>
          <w:b/>
        </w:rPr>
      </w:pPr>
      <w:r>
        <w:rPr>
          <w:rFonts w:hint="eastAsia"/>
          <w:b/>
        </w:rPr>
        <w:t>速通门</w:t>
      </w:r>
    </w:p>
    <w:p>
      <w:pPr>
        <w:snapToGrid w:val="0"/>
        <w:jc w:val="center"/>
      </w:pPr>
      <w:r>
        <w:drawing>
          <wp:inline distT="0" distB="0" distL="0" distR="0">
            <wp:extent cx="2338070" cy="2173605"/>
            <wp:effectExtent l="0" t="0" r="508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rrowheads="true"/>
                    </pic:cNvPicPr>
                  </pic:nvPicPr>
                  <pic:blipFill>
                    <a:blip r:embed="rId6">
                      <a:extLst>
                        <a:ext uri="{28A0092B-C50C-407E-A947-70E740481C1C}">
                          <a14:useLocalDpi xmlns:a14="http://schemas.microsoft.com/office/drawing/2010/main" val="false"/>
                        </a:ext>
                      </a:extLst>
                    </a:blip>
                    <a:srcRect/>
                    <a:stretch>
                      <a:fillRect/>
                    </a:stretch>
                  </pic:blipFill>
                  <pic:spPr>
                    <a:xfrm>
                      <a:off x="0" y="0"/>
                      <a:ext cx="2338070" cy="2173605"/>
                    </a:xfrm>
                    <a:prstGeom prst="rect">
                      <a:avLst/>
                    </a:prstGeom>
                    <a:noFill/>
                    <a:ln>
                      <a:noFill/>
                    </a:ln>
                    <a:effectLst/>
                  </pic:spPr>
                </pic:pic>
              </a:graphicData>
            </a:graphic>
          </wp:inline>
        </w:drawing>
      </w:r>
    </w:p>
    <w:p>
      <w:pPr>
        <w:snapToGrid w:val="0"/>
        <w:jc w:val="center"/>
      </w:pPr>
    </w:p>
    <w:p>
      <w:pPr>
        <w:pStyle w:val="10"/>
        <w:numPr>
          <w:ilvl w:val="0"/>
          <w:numId w:val="5"/>
        </w:numPr>
        <w:ind w:firstLineChars="0"/>
        <w:rPr>
          <w:b/>
        </w:rPr>
      </w:pPr>
      <w:r>
        <w:rPr>
          <w:rFonts w:hint="eastAsia"/>
          <w:b/>
        </w:rPr>
        <w:t>功能要求</w:t>
      </w:r>
    </w:p>
    <w:p>
      <w:pPr>
        <w:pStyle w:val="10"/>
        <w:numPr>
          <w:ilvl w:val="0"/>
          <w:numId w:val="6"/>
        </w:numPr>
        <w:ind w:firstLineChars="0"/>
      </w:pPr>
      <w:r>
        <w:rPr>
          <w:rFonts w:hint="eastAsia"/>
        </w:rPr>
        <w:t>支持零位自检功能，方便用户维护及使用；</w:t>
      </w:r>
    </w:p>
    <w:p>
      <w:pPr>
        <w:pStyle w:val="10"/>
        <w:numPr>
          <w:ilvl w:val="0"/>
          <w:numId w:val="6"/>
        </w:numPr>
        <w:ind w:firstLineChars="0"/>
      </w:pPr>
      <w:r>
        <w:rPr>
          <w:rFonts w:hint="eastAsia"/>
        </w:rPr>
        <w:t>支持非法进入有报警提示功能；</w:t>
      </w:r>
    </w:p>
    <w:p>
      <w:pPr>
        <w:pStyle w:val="10"/>
        <w:numPr>
          <w:ilvl w:val="0"/>
          <w:numId w:val="6"/>
        </w:numPr>
        <w:ind w:firstLineChars="0"/>
      </w:pPr>
      <w:r>
        <w:rPr>
          <w:rFonts w:hint="eastAsia"/>
        </w:rPr>
        <w:t>支持防冲功能，在没有接收功能开闸信号，伸缩挡板自动锁死；</w:t>
      </w:r>
    </w:p>
    <w:p>
      <w:pPr>
        <w:pStyle w:val="10"/>
        <w:numPr>
          <w:ilvl w:val="0"/>
          <w:numId w:val="6"/>
        </w:numPr>
        <w:ind w:firstLineChars="0"/>
      </w:pPr>
      <w:r>
        <w:rPr>
          <w:rFonts w:hint="eastAsia"/>
        </w:rPr>
        <w:t>支持多重防夹保护功能，当闸机摆门受到阻挡，实际运行电流大于防夹保护电流时，将触发物理防夹保护功能。加上红外防夹保护功能，多重保护功能大大降低误伤人情形的出现；</w:t>
      </w:r>
    </w:p>
    <w:p>
      <w:pPr>
        <w:pStyle w:val="10"/>
        <w:numPr>
          <w:ilvl w:val="0"/>
          <w:numId w:val="6"/>
        </w:numPr>
        <w:ind w:firstLineChars="0"/>
      </w:pPr>
      <w:r>
        <w:rPr>
          <w:rFonts w:hint="eastAsia"/>
        </w:rPr>
        <w:t>支持自动复位功能，行人读有效卡后，若在系统规定时间内未通行时，系统将自动取消行人此次通行权限；</w:t>
      </w:r>
    </w:p>
    <w:p>
      <w:pPr>
        <w:pStyle w:val="10"/>
        <w:numPr>
          <w:ilvl w:val="0"/>
          <w:numId w:val="6"/>
        </w:numPr>
        <w:ind w:firstLineChars="0"/>
      </w:pPr>
      <w:r>
        <w:rPr>
          <w:rFonts w:hint="eastAsia"/>
        </w:rPr>
        <w:t>具备统一标准的对外电气接口，支持与多种读卡器相挂接，并可通过管理计算机实现远程控制与管理；</w:t>
      </w:r>
    </w:p>
    <w:p>
      <w:pPr>
        <w:pStyle w:val="10"/>
        <w:numPr>
          <w:ilvl w:val="0"/>
          <w:numId w:val="6"/>
        </w:numPr>
        <w:ind w:firstLineChars="0"/>
      </w:pPr>
      <w:r>
        <w:rPr>
          <w:rFonts w:hint="eastAsia"/>
        </w:rPr>
        <w:t>满足系统运行平稳、噪音小要求。</w:t>
      </w:r>
    </w:p>
    <w:p>
      <w:pPr>
        <w:pStyle w:val="10"/>
        <w:numPr>
          <w:ilvl w:val="0"/>
          <w:numId w:val="5"/>
        </w:numPr>
        <w:ind w:firstLineChars="0"/>
        <w:rPr>
          <w:b/>
        </w:rPr>
      </w:pPr>
      <w:r>
        <w:rPr>
          <w:rFonts w:hint="eastAsia"/>
          <w:b/>
        </w:rPr>
        <w:t>设备参数：</w:t>
      </w:r>
    </w:p>
    <w:p>
      <w:pPr>
        <w:pStyle w:val="10"/>
        <w:numPr>
          <w:ilvl w:val="0"/>
          <w:numId w:val="6"/>
        </w:numPr>
        <w:ind w:firstLineChars="0"/>
      </w:pPr>
      <w:r>
        <w:rPr>
          <w:rFonts w:hint="eastAsia"/>
        </w:rPr>
        <w:t>外形尺寸：长*宽*高：1200 mm *220mm *980 mm；</w:t>
      </w:r>
    </w:p>
    <w:p>
      <w:pPr>
        <w:pStyle w:val="10"/>
        <w:numPr>
          <w:ilvl w:val="0"/>
          <w:numId w:val="6"/>
        </w:numPr>
        <w:ind w:firstLineChars="0"/>
      </w:pPr>
      <w:r>
        <w:rPr>
          <w:rFonts w:hint="eastAsia"/>
        </w:rPr>
        <w:t>箱体材质：1.2+1.0mm SUS304 ；</w:t>
      </w:r>
    </w:p>
    <w:p>
      <w:pPr>
        <w:pStyle w:val="10"/>
        <w:numPr>
          <w:ilvl w:val="0"/>
          <w:numId w:val="6"/>
        </w:numPr>
        <w:ind w:firstLineChars="0"/>
      </w:pPr>
      <w:r>
        <w:rPr>
          <w:rFonts w:hint="eastAsia"/>
        </w:rPr>
        <w:t>门板材料：10mm厚亚克力；</w:t>
      </w:r>
    </w:p>
    <w:p>
      <w:pPr>
        <w:pStyle w:val="10"/>
        <w:numPr>
          <w:ilvl w:val="0"/>
          <w:numId w:val="6"/>
        </w:numPr>
        <w:ind w:firstLineChars="0"/>
      </w:pPr>
      <w:r>
        <w:rPr>
          <w:rFonts w:hint="eastAsia"/>
        </w:rPr>
        <w:t>通道宽：600mm-1200mm；</w:t>
      </w:r>
    </w:p>
    <w:p>
      <w:pPr>
        <w:pStyle w:val="10"/>
        <w:numPr>
          <w:ilvl w:val="0"/>
          <w:numId w:val="6"/>
        </w:numPr>
        <w:ind w:firstLineChars="0"/>
      </w:pPr>
      <w:r>
        <w:rPr>
          <w:rFonts w:hint="eastAsia"/>
        </w:rPr>
        <w:t>环境温度：-20度~70度；</w:t>
      </w:r>
    </w:p>
    <w:p>
      <w:pPr>
        <w:pStyle w:val="10"/>
        <w:numPr>
          <w:ilvl w:val="0"/>
          <w:numId w:val="6"/>
        </w:numPr>
        <w:ind w:firstLineChars="0"/>
      </w:pPr>
      <w:r>
        <w:rPr>
          <w:rFonts w:hint="eastAsia"/>
        </w:rPr>
        <w:t>工作环境：室内室外（室外加装雨棚）。</w:t>
      </w:r>
    </w:p>
    <w:p>
      <w:pPr>
        <w:pStyle w:val="10"/>
        <w:numPr>
          <w:ilvl w:val="0"/>
          <w:numId w:val="6"/>
        </w:numPr>
        <w:ind w:firstLineChars="0"/>
      </w:pPr>
      <w:r>
        <w:rPr>
          <w:rFonts w:hint="eastAsia"/>
        </w:rPr>
        <w:t>输入电压：100V~240V；</w:t>
      </w:r>
    </w:p>
    <w:p>
      <w:pPr>
        <w:pStyle w:val="10"/>
        <w:numPr>
          <w:ilvl w:val="0"/>
          <w:numId w:val="6"/>
        </w:numPr>
        <w:ind w:firstLineChars="0"/>
      </w:pPr>
      <w:r>
        <w:rPr>
          <w:rFonts w:hint="eastAsia"/>
        </w:rPr>
        <w:t>驱动电压：24V；</w:t>
      </w:r>
    </w:p>
    <w:p>
      <w:pPr>
        <w:pStyle w:val="10"/>
        <w:numPr>
          <w:ilvl w:val="0"/>
          <w:numId w:val="6"/>
        </w:numPr>
        <w:ind w:firstLineChars="0"/>
      </w:pPr>
      <w:r>
        <w:rPr>
          <w:rFonts w:hint="eastAsia"/>
        </w:rPr>
        <w:t>设备功率：</w:t>
      </w:r>
      <w:r>
        <w:rPr>
          <w:rFonts w:hint="eastAsia" w:asciiTheme="minorEastAsia" w:hAnsiTheme="minorEastAsia"/>
        </w:rPr>
        <w:t>≤</w:t>
      </w:r>
      <w:r>
        <w:rPr>
          <w:rFonts w:hint="eastAsia"/>
        </w:rPr>
        <w:t>50W；</w:t>
      </w:r>
    </w:p>
    <w:p>
      <w:pPr>
        <w:pStyle w:val="10"/>
        <w:numPr>
          <w:ilvl w:val="0"/>
          <w:numId w:val="6"/>
        </w:numPr>
        <w:ind w:firstLineChars="0"/>
      </w:pPr>
      <w:r>
        <w:rPr>
          <w:rFonts w:hint="eastAsia"/>
        </w:rPr>
        <w:t>开关门时间：</w:t>
      </w:r>
      <w:r>
        <w:rPr>
          <w:rFonts w:hint="eastAsia" w:asciiTheme="minorEastAsia" w:hAnsiTheme="minorEastAsia"/>
        </w:rPr>
        <w:t>≤</w:t>
      </w:r>
      <w:r>
        <w:rPr>
          <w:rFonts w:hint="eastAsia"/>
        </w:rPr>
        <w:t>1S；</w:t>
      </w:r>
    </w:p>
    <w:p>
      <w:pPr>
        <w:pStyle w:val="10"/>
        <w:numPr>
          <w:ilvl w:val="0"/>
          <w:numId w:val="6"/>
        </w:numPr>
        <w:ind w:firstLineChars="0"/>
      </w:pPr>
      <w:r>
        <w:rPr>
          <w:rFonts w:hint="eastAsia"/>
        </w:rPr>
        <w:t>响应时间：</w:t>
      </w:r>
      <w:r>
        <w:rPr>
          <w:rFonts w:hint="eastAsia" w:asciiTheme="minorEastAsia" w:hAnsiTheme="minorEastAsia"/>
        </w:rPr>
        <w:t>≤</w:t>
      </w:r>
      <w:r>
        <w:rPr>
          <w:rFonts w:hint="eastAsia"/>
        </w:rPr>
        <w:t>0.2S；</w:t>
      </w:r>
    </w:p>
    <w:p>
      <w:pPr>
        <w:pStyle w:val="10"/>
        <w:numPr>
          <w:ilvl w:val="0"/>
          <w:numId w:val="6"/>
        </w:numPr>
        <w:ind w:firstLineChars="0"/>
      </w:pPr>
      <w:r>
        <w:rPr>
          <w:rFonts w:hint="eastAsia"/>
        </w:rPr>
        <w:t>通行速度：常开</w:t>
      </w:r>
      <w:r>
        <w:rPr>
          <w:rFonts w:hint="eastAsia" w:asciiTheme="minorEastAsia" w:hAnsiTheme="minorEastAsia"/>
        </w:rPr>
        <w:t>≥</w:t>
      </w:r>
      <w:r>
        <w:rPr>
          <w:rFonts w:hint="eastAsia"/>
        </w:rPr>
        <w:t>50人/分；常闭</w:t>
      </w:r>
      <w:r>
        <w:rPr>
          <w:rFonts w:hint="eastAsia" w:asciiTheme="minorEastAsia" w:hAnsiTheme="minorEastAsia"/>
        </w:rPr>
        <w:t>≥</w:t>
      </w:r>
      <w:r>
        <w:rPr>
          <w:rFonts w:hint="eastAsia"/>
        </w:rPr>
        <w:t>35人/分；</w:t>
      </w:r>
    </w:p>
    <w:p>
      <w:pPr>
        <w:pStyle w:val="10"/>
        <w:numPr>
          <w:ilvl w:val="0"/>
          <w:numId w:val="6"/>
        </w:numPr>
        <w:ind w:firstLineChars="0"/>
      </w:pPr>
      <w:r>
        <w:rPr>
          <w:rFonts w:hint="eastAsia"/>
        </w:rPr>
        <w:t>通讯接口：RS485；</w:t>
      </w:r>
    </w:p>
    <w:p>
      <w:pPr>
        <w:pStyle w:val="10"/>
        <w:numPr>
          <w:ilvl w:val="0"/>
          <w:numId w:val="6"/>
        </w:numPr>
        <w:ind w:firstLineChars="0"/>
      </w:pPr>
      <w:r>
        <w:rPr>
          <w:rFonts w:hint="eastAsia"/>
        </w:rPr>
        <w:t>通讯距离：</w:t>
      </w:r>
      <w:r>
        <w:rPr>
          <w:rFonts w:hint="eastAsia" w:asciiTheme="minorEastAsia" w:hAnsiTheme="minorEastAsia"/>
        </w:rPr>
        <w:t>≥</w:t>
      </w:r>
      <w:r>
        <w:rPr>
          <w:rFonts w:hint="eastAsia"/>
        </w:rPr>
        <w:t>1200m；</w:t>
      </w:r>
    </w:p>
    <w:p>
      <w:pPr>
        <w:pStyle w:val="10"/>
        <w:numPr>
          <w:ilvl w:val="0"/>
          <w:numId w:val="6"/>
        </w:numPr>
        <w:ind w:firstLineChars="0"/>
      </w:pPr>
      <w:r>
        <w:rPr>
          <w:rFonts w:hint="eastAsia"/>
        </w:rPr>
        <w:t>开闸信号输入：干接点。</w:t>
      </w:r>
    </w:p>
    <w:p>
      <w:pPr>
        <w:pStyle w:val="3"/>
      </w:pPr>
      <w:r>
        <w:rPr>
          <w:rFonts w:hint="eastAsia"/>
        </w:rPr>
        <w:t>维保服务</w:t>
      </w:r>
      <w:r>
        <w:t>要求</w:t>
      </w:r>
    </w:p>
    <w:p>
      <w:pPr>
        <w:ind w:firstLine="480" w:firstLineChars="200"/>
        <w:rPr>
          <w:rFonts w:ascii="宋体" w:hAnsi="宋体" w:cs="宋体"/>
        </w:rPr>
      </w:pPr>
      <w:r>
        <w:rPr>
          <w:rFonts w:hint="eastAsia" w:ascii="宋体" w:hAnsi="宋体" w:cs="宋体"/>
        </w:rPr>
        <w:t>中标方根据维护规程，结合自身实际情况，细化日常维护工作中需要完成的具体维护工作项目，做到尽早发现隐患、及时处理故障、保障系统的稳定运行，确保网络、应用</w:t>
      </w:r>
      <w:r>
        <w:rPr>
          <w:rFonts w:ascii="宋体" w:hAnsi="宋体" w:cs="宋体"/>
        </w:rPr>
        <w:t>软件、</w:t>
      </w:r>
      <w:r>
        <w:rPr>
          <w:rFonts w:hint="eastAsia" w:ascii="宋体" w:hAnsi="宋体" w:cs="宋体"/>
        </w:rPr>
        <w:t>系统和设备运行正常以及客户服务工作。维护工作应包括项目分解和责任落实到个人，并细化执行。</w:t>
      </w:r>
    </w:p>
    <w:p>
      <w:pPr>
        <w:pStyle w:val="4"/>
      </w:pPr>
      <w:r>
        <w:rPr>
          <w:rFonts w:hint="eastAsia"/>
        </w:rPr>
        <w:t>集成</w:t>
      </w:r>
      <w:r>
        <w:t>平台</w:t>
      </w:r>
    </w:p>
    <w:p>
      <w:pPr>
        <w:pStyle w:val="10"/>
        <w:numPr>
          <w:ilvl w:val="0"/>
          <w:numId w:val="7"/>
        </w:numPr>
        <w:spacing w:line="240" w:lineRule="auto"/>
        <w:ind w:firstLineChars="0"/>
        <w:rPr>
          <w:rFonts w:ascii="宋体" w:hAnsi="宋体" w:cs="宋体"/>
          <w:b/>
          <w:bCs/>
        </w:rPr>
      </w:pPr>
      <w:bookmarkStart w:id="3" w:name="_Toc30141"/>
      <w:bookmarkStart w:id="4" w:name="_Toc14113"/>
      <w:bookmarkStart w:id="5" w:name="_Toc478089978"/>
      <w:bookmarkStart w:id="6" w:name="_Toc5043"/>
      <w:r>
        <w:rPr>
          <w:rFonts w:hint="eastAsia" w:ascii="宋体" w:hAnsi="宋体" w:cs="宋体"/>
          <w:b/>
          <w:bCs/>
        </w:rPr>
        <w:t>日常</w:t>
      </w:r>
      <w:bookmarkEnd w:id="3"/>
      <w:bookmarkEnd w:id="4"/>
      <w:bookmarkEnd w:id="5"/>
      <w:bookmarkEnd w:id="6"/>
      <w:r>
        <w:rPr>
          <w:rFonts w:hint="eastAsia" w:ascii="宋体" w:hAnsi="宋体" w:cs="宋体"/>
          <w:b/>
          <w:bCs/>
        </w:rPr>
        <w:t>运维</w:t>
      </w:r>
    </w:p>
    <w:p>
      <w:pPr>
        <w:ind w:firstLine="480" w:firstLineChars="200"/>
        <w:rPr>
          <w:rFonts w:ascii="宋体" w:hAnsi="宋体" w:cs="宋体"/>
        </w:rPr>
      </w:pPr>
      <w:bookmarkStart w:id="7" w:name="OLE_LINK39"/>
      <w:r>
        <w:rPr>
          <w:rFonts w:hint="eastAsia" w:ascii="宋体" w:hAnsi="宋体" w:cs="宋体"/>
        </w:rPr>
        <w:t>（1）按照系统功能和性能要求，维护系统的日常正常运行主要包含硬件设备、器材、视频应用系统、安全边界接入系统、计费系统、运维网管系统、监控机房等。</w:t>
      </w:r>
    </w:p>
    <w:p>
      <w:pPr>
        <w:ind w:firstLine="480" w:firstLineChars="200"/>
        <w:rPr>
          <w:rFonts w:ascii="宋体" w:hAnsi="宋体" w:cs="宋体"/>
        </w:rPr>
      </w:pPr>
      <w:r>
        <w:rPr>
          <w:rFonts w:hint="eastAsia" w:ascii="宋体" w:hAnsi="宋体" w:cs="宋体"/>
        </w:rPr>
        <w:t>（2）每月15日对系统设备和器材进行维护保养，发现需维修的，要及时进行维修，同时做好维护保养记录（拍照记录和填写维护保养记录表），在该月的25日之前提交采购方进行统计。主要包括：</w:t>
      </w:r>
    </w:p>
    <w:bookmarkEnd w:id="7"/>
    <w:p>
      <w:pPr>
        <w:ind w:firstLine="480" w:firstLineChars="200"/>
        <w:rPr>
          <w:rFonts w:ascii="宋体" w:hAnsi="宋体" w:cs="宋体"/>
        </w:rPr>
      </w:pPr>
      <w:r>
        <w:rPr>
          <w:rFonts w:hint="eastAsia" w:ascii="宋体" w:hAnsi="宋体" w:cs="宋体"/>
        </w:rPr>
        <w:t>1）检查系统供电情况：检查系统供电所使用的稳压器、变压器、UPS电源和其他设备的工作状态，要求指示灯状态正常、无告警。</w:t>
      </w:r>
    </w:p>
    <w:p>
      <w:pPr>
        <w:ind w:firstLine="480" w:firstLineChars="200"/>
        <w:rPr>
          <w:rFonts w:ascii="宋体" w:hAnsi="宋体" w:cs="宋体"/>
        </w:rPr>
      </w:pPr>
      <w:bookmarkStart w:id="8" w:name="OLE_LINK37"/>
      <w:bookmarkStart w:id="9" w:name="OLE_LINK38"/>
      <w:r>
        <w:rPr>
          <w:rFonts w:hint="eastAsia" w:ascii="宋体" w:hAnsi="宋体" w:cs="宋体"/>
        </w:rPr>
        <w:t>2）检查各监控点光纤收发器（或光端机）工作情况，观察光纤收发器（或光端机）设备指示灯状态；检查光纤收发器（或光端机）设备受潮情况等。</w:t>
      </w:r>
    </w:p>
    <w:bookmarkEnd w:id="8"/>
    <w:bookmarkEnd w:id="9"/>
    <w:p>
      <w:pPr>
        <w:ind w:firstLine="480" w:firstLineChars="200"/>
        <w:rPr>
          <w:rFonts w:ascii="宋体" w:hAnsi="宋体" w:cs="宋体"/>
        </w:rPr>
      </w:pPr>
      <w:r>
        <w:rPr>
          <w:rFonts w:hint="eastAsia" w:ascii="宋体" w:hAnsi="宋体" w:cs="宋体"/>
        </w:rPr>
        <w:t>3）检查计算机设备及硬盘录像机运行情况：检查主控端和副控端监控使用计算机的运行状态，检查硬盘剩余空间（不小于1G）；若硬件资源不够，分析系统当前负荷所需资源并提出升级方案；检查监控使用存储设备和录像回放情况，正常保留每个摄像点30天或以上的录像，确保录像数据文件的完整性和连续性，保障可以随时调用任意时段的录像，并定期校准所有存储设备的时钟同步。</w:t>
      </w:r>
    </w:p>
    <w:p>
      <w:pPr>
        <w:ind w:firstLine="480" w:firstLineChars="200"/>
        <w:rPr>
          <w:rFonts w:ascii="宋体" w:hAnsi="宋体" w:cs="宋体"/>
        </w:rPr>
      </w:pPr>
      <w:r>
        <w:rPr>
          <w:rFonts w:hint="eastAsia" w:ascii="宋体" w:hAnsi="宋体" w:cs="宋体"/>
        </w:rPr>
        <w:t>4）摄像机（球）日常维护：清洁外表及镜头，对摄像机各项技术指标进行检测，保障其外表无灰尘、锈斑，镜头光片铮亮、各部件运转正常。</w:t>
      </w:r>
    </w:p>
    <w:p>
      <w:pPr>
        <w:ind w:firstLine="480" w:firstLineChars="200"/>
        <w:rPr>
          <w:rFonts w:ascii="宋体" w:hAnsi="宋体" w:cs="宋体"/>
        </w:rPr>
      </w:pPr>
      <w:r>
        <w:rPr>
          <w:rFonts w:hint="eastAsia" w:ascii="宋体" w:hAnsi="宋体" w:cs="宋体"/>
        </w:rPr>
        <w:t>5）光传输设备维护：擦拭各部件外表，检测和调校主要技术性能参数。保障各部件无尘、锈点，各部件之间的连接稳固可靠，并进行现场环境分析；光端机收发（含中继）设备各种技术性能参数与器材原指标相同，无明显下降。</w:t>
      </w:r>
    </w:p>
    <w:p>
      <w:pPr>
        <w:ind w:firstLine="480" w:firstLineChars="200"/>
        <w:rPr>
          <w:rFonts w:ascii="宋体" w:hAnsi="宋体" w:cs="宋体"/>
        </w:rPr>
      </w:pPr>
      <w:r>
        <w:rPr>
          <w:rFonts w:hint="eastAsia" w:ascii="宋体" w:hAnsi="宋体" w:cs="宋体"/>
        </w:rPr>
        <w:t>6）显示器、存储设备、防雷器等设备维护：擦拭外表各部件，保障各部件无尘、无锈点，测试和调校主要技术参数和性能指标，软件数据的备份工作，显示器屏幕需光滑亮洁。检查硬盘的使用空间、数据备份和软件实际操作性，确保设备主要技术性能参数在其标称范围内。</w:t>
      </w:r>
    </w:p>
    <w:p>
      <w:pPr>
        <w:ind w:firstLine="480" w:firstLineChars="200"/>
        <w:rPr>
          <w:rFonts w:ascii="宋体" w:hAnsi="宋体" w:cs="宋体"/>
        </w:rPr>
      </w:pPr>
      <w:r>
        <w:rPr>
          <w:rFonts w:hint="eastAsia" w:ascii="宋体" w:hAnsi="宋体" w:cs="宋体"/>
        </w:rPr>
        <w:t>7）检查系统软件运行情况：检查数据库软件，查看数据存储、数据备份和监控点位的一机一档等数据是否正常和正确无误。</w:t>
      </w:r>
    </w:p>
    <w:p>
      <w:pPr>
        <w:ind w:firstLine="480" w:firstLineChars="200"/>
        <w:rPr>
          <w:rFonts w:ascii="宋体" w:hAnsi="宋体" w:cs="宋体"/>
        </w:rPr>
      </w:pPr>
      <w:r>
        <w:rPr>
          <w:rFonts w:hint="eastAsia" w:ascii="宋体" w:hAnsi="宋体" w:cs="宋体"/>
        </w:rPr>
        <w:t>8）检查线路工作情况：检查线路情况，光缆、电源线路经过的路由是否存在隐患，是否需要更换、整改；检查传输设备运行情况，是否存在异常声光告警；检查互联所用光纤及传输设备连接情况，保障网络正常。</w:t>
      </w:r>
    </w:p>
    <w:p>
      <w:pPr>
        <w:ind w:firstLine="480" w:firstLineChars="200"/>
        <w:rPr>
          <w:rFonts w:ascii="宋体" w:hAnsi="宋体" w:cs="宋体"/>
        </w:rPr>
      </w:pPr>
      <w:r>
        <w:rPr>
          <w:rFonts w:hint="eastAsia" w:ascii="宋体" w:hAnsi="宋体" w:cs="宋体"/>
        </w:rPr>
        <w:t>9）基础设施检查：检查系统的计算机及网络设备、监控系统电源设备、机房使用空调及光传输设备等的工作环境；对监控前端设备防潮、防锈情况检查；对主监控系统的所有设备定期进行清洁保养，确保其工作正常。</w:t>
      </w:r>
    </w:p>
    <w:p>
      <w:pPr>
        <w:ind w:firstLine="480" w:firstLineChars="200"/>
        <w:rPr>
          <w:rFonts w:ascii="宋体" w:hAnsi="宋体" w:cs="宋体"/>
        </w:rPr>
      </w:pPr>
      <w:r>
        <w:rPr>
          <w:rFonts w:hint="eastAsia" w:ascii="宋体" w:hAnsi="宋体" w:cs="宋体"/>
        </w:rPr>
        <w:t>10）检查各类标签（包括交流电、直流电、光纤线缆等）是否齐全、正确、遗漏或脱落，存在问题及时进行整改。</w:t>
      </w:r>
    </w:p>
    <w:p>
      <w:pPr>
        <w:ind w:firstLine="480" w:firstLineChars="200"/>
        <w:rPr>
          <w:rFonts w:ascii="宋体" w:hAnsi="宋体" w:cs="宋体"/>
        </w:rPr>
      </w:pPr>
      <w:r>
        <w:rPr>
          <w:rFonts w:hint="eastAsia" w:ascii="宋体" w:hAnsi="宋体" w:cs="宋体"/>
        </w:rPr>
        <w:t>11）检查监控图像的质量，检查主控端和副控端所有点的图像画面质量，字符叠加状况，图像控制情况，检查360度转动摄像机控制情况。图像有效范围是否受建筑物、树木等外界影响、遮挡。</w:t>
      </w:r>
    </w:p>
    <w:p>
      <w:pPr>
        <w:ind w:firstLine="480" w:firstLineChars="200"/>
        <w:rPr>
          <w:rFonts w:ascii="宋体" w:hAnsi="宋体" w:cs="宋体"/>
        </w:rPr>
      </w:pPr>
      <w:r>
        <w:rPr>
          <w:rFonts w:hint="eastAsia" w:ascii="宋体" w:hAnsi="宋体" w:cs="宋体"/>
        </w:rPr>
        <w:t>12）检查监控室内LCD大屏幕工作是否正常，包括显示画面</w:t>
      </w:r>
      <w:r>
        <w:rPr>
          <w:rFonts w:ascii="宋体" w:hAnsi="宋体" w:cs="宋体"/>
        </w:rPr>
        <w:t>、</w:t>
      </w:r>
      <w:r>
        <w:rPr>
          <w:rFonts w:hint="eastAsia" w:ascii="宋体" w:hAnsi="宋体" w:cs="宋体"/>
        </w:rPr>
        <w:t>链接</w:t>
      </w:r>
      <w:r>
        <w:rPr>
          <w:rFonts w:ascii="宋体" w:hAnsi="宋体" w:cs="宋体"/>
        </w:rPr>
        <w:t>线缆、电气等</w:t>
      </w:r>
      <w:r>
        <w:rPr>
          <w:rFonts w:hint="eastAsia" w:ascii="宋体" w:hAnsi="宋体" w:cs="宋体"/>
        </w:rPr>
        <w:t>，</w:t>
      </w:r>
      <w:r>
        <w:rPr>
          <w:rFonts w:ascii="宋体" w:hAnsi="宋体" w:cs="宋体"/>
        </w:rPr>
        <w:t>确保</w:t>
      </w:r>
      <w:r>
        <w:rPr>
          <w:rFonts w:hint="eastAsia" w:ascii="宋体" w:hAnsi="宋体" w:cs="宋体"/>
        </w:rPr>
        <w:t>大屏幕</w:t>
      </w:r>
      <w:r>
        <w:rPr>
          <w:rFonts w:ascii="宋体" w:hAnsi="宋体" w:cs="宋体"/>
        </w:rPr>
        <w:t>24</w:t>
      </w:r>
      <w:r>
        <w:rPr>
          <w:rFonts w:hint="eastAsia" w:ascii="宋体" w:hAnsi="宋体" w:cs="宋体"/>
        </w:rPr>
        <w:t>小时</w:t>
      </w:r>
      <w:r>
        <w:rPr>
          <w:rFonts w:ascii="宋体" w:hAnsi="宋体" w:cs="宋体"/>
        </w:rPr>
        <w:t>工作正常</w:t>
      </w:r>
      <w:r>
        <w:rPr>
          <w:rFonts w:hint="eastAsia" w:ascii="宋体" w:hAnsi="宋体" w:cs="宋体"/>
        </w:rPr>
        <w:t>。</w:t>
      </w:r>
    </w:p>
    <w:p>
      <w:pPr>
        <w:ind w:firstLine="480" w:firstLineChars="200"/>
        <w:rPr>
          <w:rFonts w:ascii="宋体" w:hAnsi="宋体" w:cs="宋体"/>
        </w:rPr>
      </w:pPr>
      <w:r>
        <w:rPr>
          <w:rFonts w:ascii="宋体" w:hAnsi="宋体" w:cs="宋体"/>
        </w:rPr>
        <w:t>13</w:t>
      </w:r>
      <w:r>
        <w:rPr>
          <w:rFonts w:hint="eastAsia" w:ascii="宋体" w:hAnsi="宋体" w:cs="宋体"/>
        </w:rPr>
        <w:t>）</w:t>
      </w:r>
      <w:r>
        <w:rPr>
          <w:rFonts w:ascii="宋体" w:hAnsi="宋体" w:cs="宋体"/>
        </w:rPr>
        <w:t>检查道闸系统的运行情况，包括车牌识别准确率、道闸开启是否及时、操作电脑是否正常工作。</w:t>
      </w:r>
    </w:p>
    <w:p>
      <w:pPr>
        <w:ind w:firstLine="480" w:firstLineChars="200"/>
        <w:rPr>
          <w:rFonts w:ascii="宋体" w:hAnsi="宋体" w:cs="宋体"/>
        </w:rPr>
      </w:pPr>
      <w:r>
        <w:rPr>
          <w:rFonts w:hint="eastAsia" w:ascii="宋体" w:hAnsi="宋体" w:cs="宋体"/>
        </w:rPr>
        <w:t>14）定期检查大厅</w:t>
      </w:r>
      <w:r>
        <w:rPr>
          <w:rFonts w:ascii="宋体" w:hAnsi="宋体" w:cs="宋体"/>
        </w:rPr>
        <w:t>内</w:t>
      </w:r>
      <w:r>
        <w:rPr>
          <w:rFonts w:hint="eastAsia" w:ascii="宋体" w:hAnsi="宋体" w:cs="宋体"/>
        </w:rPr>
        <w:t>LED大屏幕工作是否正常，包括显示画面</w:t>
      </w:r>
      <w:r>
        <w:rPr>
          <w:rFonts w:ascii="宋体" w:hAnsi="宋体" w:cs="宋体"/>
        </w:rPr>
        <w:t>、</w:t>
      </w:r>
      <w:r>
        <w:rPr>
          <w:rFonts w:hint="eastAsia" w:ascii="宋体" w:hAnsi="宋体" w:cs="宋体"/>
        </w:rPr>
        <w:t>链接</w:t>
      </w:r>
      <w:r>
        <w:rPr>
          <w:rFonts w:ascii="宋体" w:hAnsi="宋体" w:cs="宋体"/>
        </w:rPr>
        <w:t>线缆、电气</w:t>
      </w:r>
      <w:r>
        <w:rPr>
          <w:rFonts w:hint="eastAsia" w:ascii="宋体" w:hAnsi="宋体" w:cs="宋体"/>
        </w:rPr>
        <w:t>、</w:t>
      </w:r>
      <w:r>
        <w:rPr>
          <w:rFonts w:ascii="宋体" w:hAnsi="宋体" w:cs="宋体"/>
        </w:rPr>
        <w:t>控制系统等</w:t>
      </w:r>
      <w:r>
        <w:rPr>
          <w:rFonts w:hint="eastAsia" w:ascii="宋体" w:hAnsi="宋体" w:cs="宋体"/>
        </w:rPr>
        <w:t>，</w:t>
      </w:r>
      <w:r>
        <w:rPr>
          <w:rFonts w:ascii="宋体" w:hAnsi="宋体" w:cs="宋体"/>
        </w:rPr>
        <w:t>确保LED大屏</w:t>
      </w:r>
      <w:r>
        <w:rPr>
          <w:rFonts w:hint="eastAsia" w:ascii="宋体" w:hAnsi="宋体" w:cs="宋体"/>
        </w:rPr>
        <w:t>满足全年</w:t>
      </w:r>
      <w:r>
        <w:rPr>
          <w:rFonts w:ascii="宋体" w:hAnsi="宋体" w:cs="宋体"/>
        </w:rPr>
        <w:t>工作正常</w:t>
      </w:r>
      <w:r>
        <w:rPr>
          <w:rFonts w:hint="eastAsia" w:ascii="宋体" w:hAnsi="宋体" w:cs="宋体"/>
        </w:rPr>
        <w:t>。重点</w:t>
      </w:r>
      <w:r>
        <w:rPr>
          <w:rFonts w:ascii="宋体" w:hAnsi="宋体" w:cs="宋体"/>
        </w:rPr>
        <w:t>检查是否有LED灯珠存在瞎点</w:t>
      </w:r>
      <w:r>
        <w:rPr>
          <w:rFonts w:hint="eastAsia" w:ascii="宋体" w:hAnsi="宋体" w:cs="宋体"/>
        </w:rPr>
        <w:t>，</w:t>
      </w:r>
      <w:r>
        <w:rPr>
          <w:rFonts w:ascii="宋体" w:hAnsi="宋体" w:cs="宋体"/>
        </w:rPr>
        <w:t>如</w:t>
      </w:r>
      <w:r>
        <w:rPr>
          <w:rFonts w:hint="eastAsia" w:ascii="宋体" w:hAnsi="宋体" w:cs="宋体"/>
        </w:rPr>
        <w:t>有</w:t>
      </w:r>
      <w:r>
        <w:rPr>
          <w:rFonts w:ascii="宋体" w:hAnsi="宋体" w:cs="宋体"/>
        </w:rPr>
        <w:t>，应及时联系厂商</w:t>
      </w:r>
      <w:r>
        <w:rPr>
          <w:rFonts w:hint="eastAsia" w:ascii="宋体" w:hAnsi="宋体" w:cs="宋体"/>
        </w:rPr>
        <w:t>来维修。</w:t>
      </w:r>
    </w:p>
    <w:p>
      <w:pPr>
        <w:ind w:firstLine="480" w:firstLineChars="200"/>
        <w:rPr>
          <w:rFonts w:ascii="宋体" w:hAnsi="宋体" w:cs="宋体"/>
        </w:rPr>
      </w:pPr>
      <w:r>
        <w:rPr>
          <w:rFonts w:hint="eastAsia" w:ascii="宋体" w:hAnsi="宋体" w:cs="宋体"/>
        </w:rPr>
        <w:t>15）对存在问题及时报告并进行整改。</w:t>
      </w:r>
    </w:p>
    <w:p>
      <w:pPr>
        <w:pStyle w:val="10"/>
        <w:numPr>
          <w:ilvl w:val="0"/>
          <w:numId w:val="7"/>
        </w:numPr>
        <w:spacing w:line="240" w:lineRule="auto"/>
        <w:ind w:firstLineChars="0"/>
        <w:rPr>
          <w:rFonts w:ascii="宋体" w:hAnsi="宋体" w:cs="宋体"/>
          <w:b/>
          <w:bCs/>
        </w:rPr>
      </w:pPr>
      <w:bookmarkStart w:id="10" w:name="_Toc53571386"/>
      <w:r>
        <w:rPr>
          <w:rFonts w:hint="eastAsia" w:ascii="宋体" w:hAnsi="宋体" w:cs="宋体"/>
          <w:b/>
          <w:bCs/>
        </w:rPr>
        <w:t>迁改服务</w:t>
      </w:r>
      <w:bookmarkEnd w:id="10"/>
    </w:p>
    <w:p>
      <w:pPr>
        <w:ind w:firstLine="480" w:firstLineChars="200"/>
        <w:rPr>
          <w:rFonts w:ascii="宋体" w:hAnsi="宋体" w:cs="宋体"/>
        </w:rPr>
      </w:pPr>
      <w:r>
        <w:rPr>
          <w:rFonts w:hint="eastAsia" w:ascii="宋体" w:hAnsi="宋体" w:cs="宋体"/>
        </w:rPr>
        <w:t>1个维护周期内提供最多</w:t>
      </w:r>
      <w:r>
        <w:rPr>
          <w:rFonts w:ascii="宋体" w:hAnsi="宋体" w:cs="宋体"/>
        </w:rPr>
        <w:t>5</w:t>
      </w:r>
      <w:r>
        <w:rPr>
          <w:rFonts w:hint="eastAsia" w:ascii="宋体" w:hAnsi="宋体" w:cs="宋体"/>
        </w:rPr>
        <w:t>个前端监控设备（含基础施工、相应取电及光缆链路）的迁改服务，并提供实施资料。</w:t>
      </w:r>
    </w:p>
    <w:p>
      <w:pPr>
        <w:pStyle w:val="10"/>
        <w:numPr>
          <w:ilvl w:val="0"/>
          <w:numId w:val="7"/>
        </w:numPr>
        <w:spacing w:line="240" w:lineRule="auto"/>
        <w:ind w:firstLineChars="0"/>
        <w:rPr>
          <w:rFonts w:ascii="宋体" w:hAnsi="宋体" w:cs="宋体"/>
          <w:b/>
          <w:bCs/>
        </w:rPr>
      </w:pPr>
      <w:bookmarkStart w:id="11" w:name="_Toc10505"/>
      <w:bookmarkStart w:id="12" w:name="_Toc10062"/>
      <w:bookmarkStart w:id="13" w:name="_Toc7590"/>
      <w:bookmarkStart w:id="14" w:name="_Toc478089980"/>
      <w:r>
        <w:rPr>
          <w:rFonts w:hint="eastAsia" w:ascii="宋体" w:hAnsi="宋体" w:cs="宋体"/>
          <w:b/>
          <w:bCs/>
        </w:rPr>
        <w:t>巡检保养</w:t>
      </w:r>
      <w:bookmarkEnd w:id="11"/>
      <w:bookmarkEnd w:id="12"/>
      <w:bookmarkEnd w:id="13"/>
      <w:bookmarkEnd w:id="14"/>
      <w:r>
        <w:rPr>
          <w:rFonts w:hint="eastAsia" w:ascii="宋体" w:hAnsi="宋体" w:cs="宋体"/>
          <w:b/>
          <w:bCs/>
        </w:rPr>
        <w:t>及培训</w:t>
      </w:r>
    </w:p>
    <w:p>
      <w:pPr>
        <w:ind w:firstLine="480" w:firstLineChars="200"/>
        <w:rPr>
          <w:rFonts w:ascii="宋体" w:hAnsi="宋体" w:cs="宋体"/>
        </w:rPr>
      </w:pPr>
      <w:r>
        <w:rPr>
          <w:rFonts w:hint="eastAsia" w:ascii="宋体" w:hAnsi="宋体" w:cs="宋体"/>
        </w:rPr>
        <w:t>（1）中标方需安排对系统各组成部分进行定期巡检服务，投标文件中需提供定期巡检服务方案。</w:t>
      </w:r>
    </w:p>
    <w:p>
      <w:pPr>
        <w:ind w:firstLine="480" w:firstLineChars="200"/>
        <w:rPr>
          <w:rFonts w:ascii="宋体" w:hAnsi="宋体" w:cs="宋体"/>
        </w:rPr>
      </w:pPr>
      <w:r>
        <w:rPr>
          <w:rFonts w:hint="eastAsia" w:ascii="宋体" w:hAnsi="宋体" w:cs="宋体"/>
        </w:rPr>
        <w:t>（2）中标方须每个月对项目维护人员组织一次安全施工和保密规定培训，并向用户方提供培训记录。</w:t>
      </w:r>
    </w:p>
    <w:p>
      <w:pPr>
        <w:pStyle w:val="10"/>
        <w:numPr>
          <w:ilvl w:val="0"/>
          <w:numId w:val="7"/>
        </w:numPr>
        <w:spacing w:line="240" w:lineRule="auto"/>
        <w:ind w:firstLineChars="0"/>
        <w:rPr>
          <w:rFonts w:ascii="宋体" w:hAnsi="宋体" w:cs="宋体"/>
          <w:b/>
          <w:bCs/>
        </w:rPr>
      </w:pPr>
      <w:bookmarkStart w:id="15" w:name="_Toc478089981"/>
      <w:bookmarkStart w:id="16" w:name="_Toc14367"/>
      <w:bookmarkStart w:id="17" w:name="_Toc28415"/>
      <w:bookmarkStart w:id="18" w:name="_Toc21790"/>
      <w:r>
        <w:rPr>
          <w:rFonts w:hint="eastAsia" w:ascii="宋体" w:hAnsi="宋体" w:cs="宋体"/>
          <w:b/>
          <w:bCs/>
        </w:rPr>
        <w:t>故障修复</w:t>
      </w:r>
      <w:bookmarkEnd w:id="15"/>
      <w:bookmarkEnd w:id="16"/>
      <w:bookmarkEnd w:id="17"/>
      <w:bookmarkEnd w:id="18"/>
    </w:p>
    <w:p>
      <w:pPr>
        <w:ind w:firstLine="480" w:firstLineChars="200"/>
        <w:rPr>
          <w:rFonts w:ascii="宋体" w:hAnsi="宋体" w:cs="宋体"/>
        </w:rPr>
      </w:pPr>
      <w:r>
        <w:rPr>
          <w:rFonts w:hint="eastAsia" w:ascii="宋体" w:hAnsi="宋体" w:cs="宋体"/>
        </w:rPr>
        <w:t>（1）总体要求</w:t>
      </w:r>
    </w:p>
    <w:p>
      <w:pPr>
        <w:ind w:firstLine="480" w:firstLineChars="200"/>
        <w:rPr>
          <w:rFonts w:ascii="宋体" w:hAnsi="宋体" w:cs="宋体"/>
        </w:rPr>
      </w:pPr>
      <w:r>
        <w:rPr>
          <w:rFonts w:hint="eastAsia" w:ascii="宋体" w:hAnsi="宋体" w:cs="宋体"/>
        </w:rPr>
        <w:t>项目运维期间，中标方必须提供全天候7×24小时的故障维护服务和技术业务咨询服务，在接到用户单位故障报修后，中标方须在30分钟内响应，且安排技术人员1小时内到达现场，根据故障等级规定的处置时间及时解决故障。</w:t>
      </w:r>
    </w:p>
    <w:p>
      <w:pPr>
        <w:ind w:firstLine="480" w:firstLineChars="200"/>
        <w:rPr>
          <w:rFonts w:ascii="宋体" w:hAnsi="宋体" w:cs="宋体"/>
        </w:rPr>
      </w:pPr>
      <w:r>
        <w:rPr>
          <w:rFonts w:hint="eastAsia" w:ascii="宋体" w:hAnsi="宋体" w:cs="宋体"/>
        </w:rPr>
        <w:t>（2）具体要求</w:t>
      </w:r>
    </w:p>
    <w:p>
      <w:pPr>
        <w:ind w:firstLine="480" w:firstLineChars="200"/>
        <w:rPr>
          <w:rFonts w:ascii="宋体" w:hAnsi="宋体" w:cs="宋体"/>
        </w:rPr>
      </w:pPr>
      <w:r>
        <w:rPr>
          <w:rFonts w:hint="eastAsia" w:ascii="宋体" w:hAnsi="宋体" w:cs="宋体"/>
        </w:rPr>
        <w:t>1)备用方案</w:t>
      </w:r>
    </w:p>
    <w:p>
      <w:pPr>
        <w:ind w:firstLine="480" w:firstLineChars="200"/>
        <w:rPr>
          <w:rFonts w:ascii="宋体" w:hAnsi="宋体" w:cs="宋体"/>
        </w:rPr>
      </w:pPr>
      <w:r>
        <w:rPr>
          <w:rFonts w:hint="eastAsia" w:ascii="宋体" w:hAnsi="宋体" w:cs="宋体"/>
        </w:rPr>
        <w:t>如遇特殊原因造成系统无法正常使用(如光缆割接)，需提供备用方案和措施，确保系统运行正常。</w:t>
      </w:r>
    </w:p>
    <w:p>
      <w:pPr>
        <w:ind w:firstLine="480" w:firstLineChars="200"/>
        <w:rPr>
          <w:rFonts w:ascii="宋体" w:hAnsi="宋体" w:cs="宋体"/>
        </w:rPr>
      </w:pPr>
      <w:r>
        <w:rPr>
          <w:rFonts w:hint="eastAsia" w:ascii="宋体" w:hAnsi="宋体" w:cs="宋体"/>
        </w:rPr>
        <w:t>2)易损易耗件</w:t>
      </w:r>
    </w:p>
    <w:p>
      <w:pPr>
        <w:ind w:firstLine="480" w:firstLineChars="200"/>
        <w:rPr>
          <w:rFonts w:ascii="宋体" w:hAnsi="宋体" w:cs="宋体"/>
        </w:rPr>
      </w:pPr>
      <w:r>
        <w:rPr>
          <w:rFonts w:hint="eastAsia" w:ascii="宋体" w:hAnsi="宋体" w:cs="宋体"/>
        </w:rPr>
        <w:t>中标方须建立备品仓库，储存足够的备用易损易耗件；备品仓库定期进行检查，对有问题的设备应及时进行维修和更换，保障备品的更新和完善。</w:t>
      </w:r>
    </w:p>
    <w:p>
      <w:pPr>
        <w:ind w:firstLine="480" w:firstLineChars="200"/>
        <w:rPr>
          <w:rFonts w:ascii="宋体" w:hAnsi="宋体" w:cs="宋体"/>
        </w:rPr>
      </w:pPr>
      <w:r>
        <w:rPr>
          <w:rFonts w:hint="eastAsia" w:ascii="宋体" w:hAnsi="宋体" w:cs="宋体"/>
        </w:rPr>
        <w:t>3)故障修复时限</w:t>
      </w:r>
    </w:p>
    <w:p>
      <w:pPr>
        <w:ind w:firstLine="480" w:firstLineChars="200"/>
        <w:rPr>
          <w:rFonts w:ascii="宋体" w:hAnsi="宋体" w:cs="宋体"/>
        </w:rPr>
      </w:pPr>
      <w:r>
        <w:rPr>
          <w:rFonts w:hint="eastAsia" w:ascii="宋体" w:hAnsi="宋体" w:cs="宋体"/>
        </w:rPr>
        <w:t>项目运维期间，中标方必须提供全天候7×24小时的故障维护服务和技术业务咨询服务，在接到用户单位故障报修后，中标方须在30分钟内响应，且安排技术人员1小时内到达现场，根据故障等级规定的处置时间及时解决故障。</w:t>
      </w:r>
    </w:p>
    <w:p>
      <w:pPr>
        <w:ind w:firstLine="480" w:firstLineChars="200"/>
        <w:rPr>
          <w:rFonts w:ascii="宋体" w:hAnsi="宋体" w:cs="宋体"/>
        </w:rPr>
      </w:pPr>
      <w:r>
        <w:rPr>
          <w:rFonts w:hint="eastAsia" w:ascii="宋体" w:hAnsi="宋体" w:cs="宋体"/>
        </w:rPr>
        <w:t>如遇到无法按时排除的通信故障，在有备用光纤资源的情况下，必须在12小时内替代解决；若无备用光纤资源，也必须在24小时内用其它接入手段进行替代；由此产生的费用由中标方自理。由于外部原因破坏导致故障发生，并经业主部门确认，故障可在48小时修复。超过48小时未修复故障的，需书面提出报停申请报告。</w:t>
      </w:r>
    </w:p>
    <w:p>
      <w:pPr>
        <w:pStyle w:val="10"/>
        <w:numPr>
          <w:ilvl w:val="0"/>
          <w:numId w:val="7"/>
        </w:numPr>
        <w:spacing w:line="240" w:lineRule="auto"/>
        <w:ind w:firstLineChars="0"/>
        <w:rPr>
          <w:rFonts w:ascii="宋体" w:hAnsi="宋体" w:cs="宋体"/>
          <w:b/>
          <w:bCs/>
        </w:rPr>
      </w:pPr>
      <w:bookmarkStart w:id="19" w:name="_Toc18496"/>
      <w:bookmarkStart w:id="20" w:name="_Toc478089982"/>
      <w:bookmarkStart w:id="21" w:name="_Toc14829"/>
      <w:bookmarkStart w:id="22" w:name="_Toc28542"/>
      <w:r>
        <w:rPr>
          <w:rFonts w:hint="eastAsia" w:ascii="宋体" w:hAnsi="宋体" w:cs="宋体"/>
          <w:b/>
          <w:bCs/>
        </w:rPr>
        <w:t>特殊保障</w:t>
      </w:r>
      <w:bookmarkEnd w:id="19"/>
      <w:bookmarkEnd w:id="20"/>
      <w:bookmarkEnd w:id="21"/>
      <w:bookmarkEnd w:id="22"/>
    </w:p>
    <w:p>
      <w:pPr>
        <w:ind w:firstLine="480" w:firstLineChars="200"/>
        <w:rPr>
          <w:rFonts w:ascii="宋体" w:hAnsi="宋体" w:cs="宋体"/>
        </w:rPr>
      </w:pPr>
      <w:r>
        <w:rPr>
          <w:rFonts w:hint="eastAsia" w:ascii="宋体" w:hAnsi="宋体" w:cs="宋体"/>
        </w:rPr>
        <w:t>（1）用户方如有重大事件、临时现场监控等特殊的保障要求，中标方须按照用户方要求提供服务，在</w:t>
      </w:r>
      <w:r>
        <w:rPr>
          <w:rFonts w:ascii="宋体" w:hAnsi="宋体" w:cs="宋体"/>
        </w:rPr>
        <w:t>服务</w:t>
      </w:r>
      <w:r>
        <w:rPr>
          <w:rFonts w:hint="eastAsia" w:ascii="宋体" w:hAnsi="宋体" w:cs="宋体"/>
        </w:rPr>
        <w:t>期间内</w:t>
      </w:r>
      <w:r>
        <w:rPr>
          <w:rFonts w:ascii="宋体" w:hAnsi="宋体" w:cs="宋体"/>
        </w:rPr>
        <w:t>不超过</w:t>
      </w:r>
      <w:r>
        <w:rPr>
          <w:rFonts w:hint="eastAsia" w:ascii="宋体" w:hAnsi="宋体" w:cs="宋体"/>
        </w:rPr>
        <w:t>（含）12次，用户方不再支付额外费用。</w:t>
      </w:r>
    </w:p>
    <w:p>
      <w:pPr>
        <w:ind w:firstLine="480" w:firstLineChars="200"/>
        <w:rPr>
          <w:rFonts w:ascii="宋体" w:hAnsi="宋体" w:cs="宋体"/>
        </w:rPr>
      </w:pPr>
      <w:r>
        <w:rPr>
          <w:rFonts w:hint="eastAsia" w:ascii="宋体" w:hAnsi="宋体" w:cs="宋体"/>
        </w:rPr>
        <w:t>（2）用户方如有安全保卫、系统接管等特殊要求，中标方须按照用户方要求提供服务，在</w:t>
      </w:r>
      <w:r>
        <w:rPr>
          <w:rFonts w:ascii="宋体" w:hAnsi="宋体" w:cs="宋体"/>
        </w:rPr>
        <w:t>服务</w:t>
      </w:r>
      <w:r>
        <w:rPr>
          <w:rFonts w:hint="eastAsia" w:ascii="宋体" w:hAnsi="宋体" w:cs="宋体"/>
        </w:rPr>
        <w:t>期间内</w:t>
      </w:r>
      <w:r>
        <w:rPr>
          <w:rFonts w:ascii="宋体" w:hAnsi="宋体" w:cs="宋体"/>
        </w:rPr>
        <w:t>不超过</w:t>
      </w:r>
      <w:r>
        <w:rPr>
          <w:rFonts w:hint="eastAsia" w:ascii="宋体" w:hAnsi="宋体" w:cs="宋体"/>
        </w:rPr>
        <w:t>（含）2次，用户方不再支付额外费用。</w:t>
      </w:r>
    </w:p>
    <w:p>
      <w:pPr>
        <w:pStyle w:val="10"/>
        <w:numPr>
          <w:ilvl w:val="0"/>
          <w:numId w:val="7"/>
        </w:numPr>
        <w:spacing w:line="240" w:lineRule="auto"/>
        <w:ind w:firstLineChars="0"/>
        <w:rPr>
          <w:rFonts w:ascii="宋体" w:hAnsi="宋体" w:cs="宋体"/>
          <w:b/>
          <w:bCs/>
        </w:rPr>
      </w:pPr>
      <w:bookmarkStart w:id="23" w:name="_Toc4421"/>
      <w:bookmarkStart w:id="24" w:name="_Toc3562"/>
      <w:bookmarkStart w:id="25" w:name="_Toc478089983"/>
      <w:bookmarkStart w:id="26" w:name="_Toc24769"/>
      <w:r>
        <w:rPr>
          <w:rFonts w:hint="eastAsia" w:ascii="宋体" w:hAnsi="宋体" w:cs="宋体"/>
          <w:b/>
          <w:bCs/>
        </w:rPr>
        <w:t>更新升级</w:t>
      </w:r>
      <w:bookmarkEnd w:id="23"/>
      <w:bookmarkEnd w:id="24"/>
      <w:bookmarkEnd w:id="25"/>
      <w:bookmarkEnd w:id="26"/>
    </w:p>
    <w:p>
      <w:pPr>
        <w:ind w:firstLine="480" w:firstLineChars="200"/>
        <w:rPr>
          <w:rFonts w:ascii="宋体" w:hAnsi="宋体" w:cs="宋体"/>
        </w:rPr>
      </w:pPr>
      <w:r>
        <w:rPr>
          <w:rFonts w:hint="eastAsia" w:ascii="宋体" w:hAnsi="宋体" w:cs="宋体"/>
        </w:rPr>
        <w:t>（1）文档更新</w:t>
      </w:r>
    </w:p>
    <w:p>
      <w:pPr>
        <w:ind w:firstLine="480" w:firstLineChars="200"/>
        <w:rPr>
          <w:rFonts w:ascii="宋体" w:hAnsi="宋体" w:cs="宋体"/>
        </w:rPr>
      </w:pPr>
      <w:r>
        <w:rPr>
          <w:rFonts w:hint="eastAsia" w:ascii="宋体" w:hAnsi="宋体" w:cs="宋体"/>
        </w:rPr>
        <w:t>中标方须建立完备的资料库，包括业主部门的线路资料（光纤、取电）、设备安装地址、备份情况、应用特性以及配置等，相关资料需按业主单位要求及时提交。</w:t>
      </w:r>
    </w:p>
    <w:p>
      <w:pPr>
        <w:ind w:firstLine="480" w:firstLineChars="200"/>
        <w:rPr>
          <w:rFonts w:ascii="宋体" w:hAnsi="宋体" w:cs="宋体"/>
        </w:rPr>
      </w:pPr>
      <w:r>
        <w:rPr>
          <w:rFonts w:hint="eastAsia" w:ascii="宋体" w:hAnsi="宋体" w:cs="宋体"/>
        </w:rPr>
        <w:t>（2）升级服务</w:t>
      </w:r>
    </w:p>
    <w:p>
      <w:pPr>
        <w:ind w:firstLine="480" w:firstLineChars="200"/>
        <w:rPr>
          <w:rFonts w:ascii="宋体" w:hAnsi="宋体" w:cs="宋体"/>
        </w:rPr>
      </w:pPr>
      <w:r>
        <w:rPr>
          <w:rFonts w:hint="eastAsia" w:ascii="宋体" w:hAnsi="宋体" w:cs="宋体"/>
        </w:rPr>
        <w:t>中标方须与相应设备厂商保持沟通，及时对项目相关设备的软件系统进行升级，满足安全和使用需要。</w:t>
      </w:r>
    </w:p>
    <w:p>
      <w:pPr>
        <w:ind w:firstLine="480" w:firstLineChars="200"/>
        <w:rPr>
          <w:rFonts w:ascii="宋体" w:hAnsi="宋体" w:cs="宋体"/>
        </w:rPr>
      </w:pPr>
      <w:r>
        <w:rPr>
          <w:rFonts w:hint="eastAsia" w:ascii="宋体" w:hAnsi="宋体" w:cs="宋体"/>
        </w:rPr>
        <w:t>（3）系统优化</w:t>
      </w:r>
    </w:p>
    <w:p>
      <w:pPr>
        <w:ind w:firstLine="480" w:firstLineChars="200"/>
        <w:rPr>
          <w:rFonts w:ascii="宋体" w:hAnsi="宋体" w:cs="宋体"/>
        </w:rPr>
      </w:pPr>
      <w:r>
        <w:rPr>
          <w:rFonts w:hint="eastAsia" w:ascii="宋体" w:hAnsi="宋体" w:cs="宋体"/>
        </w:rPr>
        <w:t>在系统运行期间，需根据运行情况定期向业主部门提供系统优化、使用优化和管理优化建议，确保系统以最优状态运行。</w:t>
      </w:r>
    </w:p>
    <w:p>
      <w:pPr>
        <w:pStyle w:val="10"/>
        <w:numPr>
          <w:ilvl w:val="0"/>
          <w:numId w:val="7"/>
        </w:numPr>
        <w:spacing w:line="240" w:lineRule="auto"/>
        <w:ind w:firstLineChars="0"/>
        <w:rPr>
          <w:rFonts w:ascii="宋体" w:hAnsi="宋体" w:cs="宋体"/>
          <w:b/>
          <w:bCs/>
        </w:rPr>
      </w:pPr>
      <w:bookmarkStart w:id="27" w:name="_Toc478089984"/>
      <w:bookmarkStart w:id="28" w:name="_Toc4136"/>
      <w:bookmarkStart w:id="29" w:name="_Toc2149"/>
      <w:bookmarkStart w:id="30" w:name="_Toc17314"/>
      <w:r>
        <w:rPr>
          <w:rFonts w:hint="eastAsia" w:ascii="宋体" w:hAnsi="宋体" w:cs="宋体"/>
          <w:b/>
          <w:bCs/>
        </w:rPr>
        <w:t>运维服务报告</w:t>
      </w:r>
      <w:bookmarkEnd w:id="27"/>
      <w:bookmarkEnd w:id="28"/>
      <w:bookmarkEnd w:id="29"/>
      <w:bookmarkEnd w:id="30"/>
    </w:p>
    <w:p>
      <w:pPr>
        <w:ind w:firstLine="480" w:firstLineChars="200"/>
        <w:rPr>
          <w:rFonts w:ascii="宋体" w:hAnsi="宋体" w:cs="宋体"/>
        </w:rPr>
      </w:pPr>
      <w:r>
        <w:rPr>
          <w:rFonts w:hint="eastAsia" w:ascii="宋体" w:hAnsi="宋体" w:cs="宋体"/>
        </w:rPr>
        <w:t>（1）在整个运维服务周期内，中标方须与用户方建立完善的沟通协调机制，及时提供运维服务的各种报告，包括重大故障维修报告、每月故障总结报告、每季度的设备和系统管理报告、每季度的系统维护总结报告，有针对性的系统优化方案报告等。中标方要根据用户方要求提交每日运维服务日志或就特定事件提交说明报告。</w:t>
      </w:r>
    </w:p>
    <w:p>
      <w:pPr>
        <w:ind w:firstLine="480" w:firstLineChars="200"/>
        <w:rPr>
          <w:rFonts w:ascii="宋体" w:hAnsi="宋体" w:cs="宋体"/>
        </w:rPr>
      </w:pPr>
      <w:r>
        <w:rPr>
          <w:rFonts w:hint="eastAsia" w:ascii="宋体" w:hAnsi="宋体" w:cs="宋体"/>
        </w:rPr>
        <w:t>（2）中标方须提供各种设备管理的原始数据(包括设备故障数据)，接受用户方或用户方委托的第三方的独立检查。保证系统所有设备维护数据的真实，没有被篡改或删除。</w:t>
      </w:r>
    </w:p>
    <w:p>
      <w:pPr>
        <w:pStyle w:val="10"/>
        <w:numPr>
          <w:ilvl w:val="0"/>
          <w:numId w:val="7"/>
        </w:numPr>
        <w:spacing w:line="240" w:lineRule="auto"/>
        <w:ind w:firstLineChars="0"/>
        <w:rPr>
          <w:rFonts w:ascii="宋体" w:hAnsi="宋体" w:cs="宋体"/>
          <w:b/>
          <w:bCs/>
        </w:rPr>
      </w:pPr>
      <w:r>
        <w:rPr>
          <w:rFonts w:hint="eastAsia" w:ascii="宋体" w:hAnsi="宋体" w:cs="宋体"/>
          <w:b/>
          <w:bCs/>
        </w:rPr>
        <w:t>应急预案</w:t>
      </w:r>
    </w:p>
    <w:p>
      <w:pPr>
        <w:ind w:firstLine="480" w:firstLineChars="200"/>
        <w:rPr>
          <w:rFonts w:ascii="宋体" w:hAnsi="宋体" w:cs="宋体"/>
        </w:rPr>
      </w:pPr>
      <w:r>
        <w:rPr>
          <w:rFonts w:hint="eastAsia" w:ascii="宋体" w:hAnsi="宋体" w:cs="宋体"/>
        </w:rPr>
        <w:t>投标人需提供运维服务应急方案，方案内容包括但不限于前端系统应急预案、后端机房应急预案、光缆应急抢修方案、机房动力系统应急处理方案和自然灾难应急措施等一系列的应急方案；对突发事件的应急处理，并制定预防措施，避免该类突发事件的发生。</w:t>
      </w:r>
    </w:p>
    <w:p>
      <w:pPr>
        <w:pStyle w:val="10"/>
        <w:numPr>
          <w:ilvl w:val="0"/>
          <w:numId w:val="7"/>
        </w:numPr>
        <w:spacing w:line="240" w:lineRule="auto"/>
        <w:ind w:firstLineChars="0"/>
        <w:rPr>
          <w:rFonts w:ascii="宋体" w:hAnsi="宋体" w:cs="宋体"/>
          <w:b/>
          <w:bCs/>
        </w:rPr>
      </w:pPr>
      <w:r>
        <w:rPr>
          <w:rFonts w:hint="eastAsia" w:ascii="宋体" w:hAnsi="宋体" w:cs="宋体"/>
          <w:b/>
          <w:bCs/>
        </w:rPr>
        <w:t>超出服务</w:t>
      </w:r>
      <w:r>
        <w:rPr>
          <w:rFonts w:ascii="宋体" w:hAnsi="宋体" w:cs="宋体"/>
          <w:b/>
          <w:bCs/>
        </w:rPr>
        <w:t>范围解决约定</w:t>
      </w:r>
    </w:p>
    <w:p>
      <w:pPr>
        <w:pStyle w:val="10"/>
        <w:ind w:firstLine="480"/>
      </w:pPr>
      <w:r>
        <w:rPr>
          <w:rFonts w:hint="eastAsia"/>
        </w:rPr>
        <w:t>本</w:t>
      </w:r>
      <w:r>
        <w:t>维护项目只</w:t>
      </w:r>
      <w:r>
        <w:rPr>
          <w:rFonts w:hint="eastAsia"/>
        </w:rPr>
        <w:t>针对</w:t>
      </w:r>
      <w:r>
        <w:t>设备维护保养，</w:t>
      </w:r>
      <w:r>
        <w:rPr>
          <w:rFonts w:hint="eastAsia"/>
        </w:rPr>
        <w:t>只</w:t>
      </w:r>
      <w:r>
        <w:t>包含设备损坏</w:t>
      </w:r>
      <w:r>
        <w:rPr>
          <w:rFonts w:hint="eastAsia"/>
        </w:rPr>
        <w:t>在一定</w:t>
      </w:r>
      <w:r>
        <w:t>范围内的维修费用。</w:t>
      </w:r>
      <w:r>
        <w:rPr>
          <w:rFonts w:hint="eastAsia"/>
        </w:rPr>
        <w:t>本项目</w:t>
      </w:r>
      <w:r>
        <w:t>约定，在设备</w:t>
      </w:r>
      <w:r>
        <w:rPr>
          <w:rFonts w:hint="eastAsia"/>
        </w:rPr>
        <w:t>单次</w:t>
      </w:r>
      <w:r>
        <w:t>本身维修费用不超过</w:t>
      </w:r>
      <w:r>
        <w:rPr>
          <w:rFonts w:hint="eastAsia"/>
        </w:rPr>
        <w:t>1000块，</w:t>
      </w:r>
      <w:r>
        <w:t>由</w:t>
      </w:r>
      <w:r>
        <w:rPr>
          <w:rFonts w:hint="eastAsia"/>
        </w:rPr>
        <w:t>中标</w:t>
      </w:r>
      <w:r>
        <w:t>方自行解决</w:t>
      </w:r>
      <w:r>
        <w:rPr>
          <w:rFonts w:hint="eastAsia"/>
        </w:rPr>
        <w:t>，</w:t>
      </w:r>
      <w:r>
        <w:t>全年</w:t>
      </w:r>
      <w:r>
        <w:rPr>
          <w:rFonts w:hint="eastAsia"/>
        </w:rPr>
        <w:t>单次</w:t>
      </w:r>
      <w:r>
        <w:t>维修费用</w:t>
      </w:r>
      <w:r>
        <w:rPr>
          <w:rFonts w:hint="eastAsia"/>
        </w:rPr>
        <w:t>累计</w:t>
      </w:r>
      <w:r>
        <w:t>不超过</w:t>
      </w:r>
      <w:r>
        <w:rPr>
          <w:rFonts w:hint="eastAsia"/>
        </w:rPr>
        <w:t>1万</w:t>
      </w:r>
      <w:r>
        <w:t>元。超出</w:t>
      </w:r>
      <w:r>
        <w:rPr>
          <w:rFonts w:hint="eastAsia"/>
        </w:rPr>
        <w:t>1000元</w:t>
      </w:r>
      <w:r>
        <w:t>的维修费，</w:t>
      </w:r>
      <w:r>
        <w:rPr>
          <w:rFonts w:hint="eastAsia"/>
        </w:rPr>
        <w:t>需要</w:t>
      </w:r>
      <w:r>
        <w:t>中标方提供厂家维修的报价单，</w:t>
      </w:r>
      <w:r>
        <w:rPr>
          <w:rFonts w:hint="eastAsia"/>
        </w:rPr>
        <w:t>业主方决策</w:t>
      </w:r>
      <w:r>
        <w:t>后，单独报销。全年</w:t>
      </w:r>
      <w:r>
        <w:rPr>
          <w:rFonts w:hint="eastAsia"/>
        </w:rPr>
        <w:t>单次</w:t>
      </w:r>
      <w:r>
        <w:t>维修费用</w:t>
      </w:r>
      <w:r>
        <w:rPr>
          <w:rFonts w:hint="eastAsia"/>
        </w:rPr>
        <w:t>累计超出1万</w:t>
      </w:r>
      <w:r>
        <w:t>元的</w:t>
      </w:r>
      <w:r>
        <w:rPr>
          <w:rFonts w:hint="eastAsia"/>
        </w:rPr>
        <w:t>以上</w:t>
      </w:r>
      <w:r>
        <w:t>部分，</w:t>
      </w:r>
      <w:r>
        <w:rPr>
          <w:rFonts w:hint="eastAsia"/>
        </w:rPr>
        <w:t>业主方决策</w:t>
      </w:r>
      <w:r>
        <w:t>后，单独报销</w:t>
      </w:r>
    </w:p>
    <w:p>
      <w:pPr>
        <w:pStyle w:val="4"/>
      </w:pPr>
      <w:r>
        <w:rPr>
          <w:rFonts w:hint="eastAsia"/>
        </w:rPr>
        <w:t>软件平台</w:t>
      </w:r>
    </w:p>
    <w:p>
      <w:pPr>
        <w:pStyle w:val="10"/>
        <w:ind w:firstLine="480"/>
      </w:pPr>
      <w:r>
        <w:rPr>
          <w:rFonts w:hint="eastAsia"/>
        </w:rPr>
        <w:t>1、保障目前</w:t>
      </w:r>
      <w:r>
        <w:t>在用的</w:t>
      </w:r>
      <w:r>
        <w:rPr>
          <w:rFonts w:hint="eastAsia"/>
        </w:rPr>
        <w:t>五个系统应用功能正常运行。</w:t>
      </w:r>
    </w:p>
    <w:p>
      <w:pPr>
        <w:pStyle w:val="10"/>
        <w:ind w:firstLine="480"/>
      </w:pPr>
      <w:r>
        <w:t>2</w:t>
      </w:r>
      <w:r>
        <w:rPr>
          <w:rFonts w:hint="eastAsia"/>
        </w:rPr>
        <w:t>、根据现有软件漏洞扫描情况，系统漏洞主要集中在用户登录、注册、密码修改及中间件软件漏洞等部分，采用升级补丁、下线部分功能等方式，修复运维范围内五个功能系统的安全漏洞。</w:t>
      </w:r>
    </w:p>
    <w:p>
      <w:pPr>
        <w:pStyle w:val="10"/>
        <w:ind w:firstLine="480"/>
      </w:pPr>
      <w:r>
        <w:t>3</w:t>
      </w:r>
      <w:r>
        <w:rPr>
          <w:rFonts w:hint="eastAsia"/>
        </w:rPr>
        <w:t>、根据工作要求，备份或迁移软件系统各类数字资源、文件资源。</w:t>
      </w:r>
    </w:p>
    <w:p>
      <w:pPr>
        <w:pStyle w:val="10"/>
        <w:ind w:firstLine="480"/>
      </w:pPr>
      <w:r>
        <w:rPr>
          <w:rFonts w:hint="eastAsia"/>
        </w:rPr>
        <w:t>4、供应商应安排至少一名项目经理7*24小时对接，负责整个项目维保及相关工作开展。视情况针对场馆重要活动前一天及当天，需安排对应专业技术人员驻场提供技术支持，排除系统问题，做好保障活动正常举办，采购方可根据实际情况动态调整。</w:t>
      </w:r>
    </w:p>
    <w:p>
      <w:pPr>
        <w:pStyle w:val="10"/>
        <w:ind w:firstLine="480"/>
      </w:pPr>
      <w:r>
        <w:rPr>
          <w:rFonts w:hint="eastAsia"/>
        </w:rPr>
        <w:t>5、因业主方原因，如服务器系统升级、迁移，软件部署环境变动等导致原软件功能系统不可用，导致运维工作无法正常开展，中标方不承担相关责任，</w:t>
      </w:r>
      <w:r>
        <w:t>但</w:t>
      </w:r>
      <w:r>
        <w:rPr>
          <w:rFonts w:hint="eastAsia"/>
        </w:rPr>
        <w:t>需要</w:t>
      </w:r>
      <w:r>
        <w:t>配合甲方进行系统恢复等工作</w:t>
      </w:r>
    </w:p>
    <w:p>
      <w:pPr>
        <w:pStyle w:val="10"/>
        <w:ind w:firstLine="480"/>
      </w:pPr>
      <w:r>
        <w:t>6</w:t>
      </w:r>
      <w:r>
        <w:rPr>
          <w:rFonts w:hint="eastAsia"/>
        </w:rPr>
        <w:t>、运维期间，业主方对功能模块提出功能修改、优化调整等需求，另行商议。</w:t>
      </w:r>
    </w:p>
    <w:p>
      <w:pPr>
        <w:pStyle w:val="2"/>
      </w:pPr>
      <w:r>
        <w:rPr>
          <w:rFonts w:hint="eastAsia"/>
        </w:rPr>
        <w:t>服务团队</w:t>
      </w:r>
    </w:p>
    <w:p>
      <w:pPr>
        <w:pStyle w:val="10"/>
        <w:ind w:firstLine="480"/>
      </w:pPr>
      <w:r>
        <w:rPr>
          <w:rFonts w:hint="eastAsia"/>
        </w:rPr>
        <w:t>项目团队人员配备需包括项目负责人、开发</w:t>
      </w:r>
      <w:r>
        <w:t>与</w:t>
      </w:r>
      <w:r>
        <w:rPr>
          <w:rFonts w:hint="eastAsia"/>
        </w:rPr>
        <w:t>运维项目经理、现场运维人员、软件开发人员、服务专员和项目技术团队等；除项目负责人外，团队成员不得少于</w:t>
      </w:r>
      <w:r>
        <w:t>6</w:t>
      </w:r>
      <w:r>
        <w:rPr>
          <w:rFonts w:hint="eastAsia"/>
        </w:rPr>
        <w:t>人，其中运维项目经理、现场运维人员和项目技术团队需在深圳区内具备固定的地点办公。</w:t>
      </w:r>
    </w:p>
    <w:p>
      <w:pPr>
        <w:pStyle w:val="10"/>
        <w:ind w:firstLine="480"/>
      </w:pPr>
      <w:r>
        <w:rPr>
          <w:rFonts w:hint="eastAsia"/>
        </w:rPr>
        <w:t>除项目负责人外，项目团队人员需满足以下要求：</w:t>
      </w:r>
    </w:p>
    <w:p>
      <w:pPr>
        <w:pStyle w:val="10"/>
        <w:ind w:firstLine="480"/>
      </w:pPr>
      <w:r>
        <w:rPr>
          <w:rFonts w:hint="eastAsia"/>
        </w:rPr>
        <w:t>（1）项目经理从事安防工作时间5年以上，在多个安全安防系统建设项目上积累了丰富的安防运营维护知识，具有优秀的项目管理能力、技术水平、协调能力和表达能力，技能娴熟，工作责任心强，有全面的技术知识结构。</w:t>
      </w:r>
    </w:p>
    <w:p>
      <w:pPr>
        <w:pStyle w:val="10"/>
        <w:ind w:firstLine="480"/>
      </w:pPr>
      <w:r>
        <w:rPr>
          <w:rFonts w:hint="eastAsia"/>
        </w:rPr>
        <w:t>（</w:t>
      </w:r>
      <w:r>
        <w:t>2</w:t>
      </w:r>
      <w:r>
        <w:rPr>
          <w:rFonts w:hint="eastAsia"/>
        </w:rPr>
        <w:t>）、软件开发人员不得少于2人，需要从事软件开发3年以上，具备软件开发能力，能够解决软件运行过程中出现的故障现象以及业主方提出的招标文件中明确的修改需求，以及按照安全要求，对安全漏洞进行整改；</w:t>
      </w:r>
    </w:p>
    <w:p>
      <w:pPr>
        <w:pStyle w:val="10"/>
        <w:ind w:firstLine="480"/>
      </w:pPr>
      <w:r>
        <w:rPr>
          <w:rFonts w:hint="eastAsia"/>
        </w:rPr>
        <w:t>（</w:t>
      </w:r>
      <w:r>
        <w:t>3</w:t>
      </w:r>
      <w:r>
        <w:rPr>
          <w:rFonts w:hint="eastAsia"/>
        </w:rPr>
        <w:t>）现场运维人员不少于1人，需从事安防工作3年以上，具备优秀的表达和沟通能力，能够解决运维中出现的常见问题，对用户进行简单的操作培训。</w:t>
      </w:r>
    </w:p>
    <w:p>
      <w:pPr>
        <w:pStyle w:val="10"/>
        <w:ind w:firstLine="480"/>
      </w:pPr>
      <w:r>
        <w:rPr>
          <w:rFonts w:hint="eastAsia"/>
        </w:rPr>
        <w:t>（4）服务专员不少于1人，协助项目经理与用户单位沟通、联络。</w:t>
      </w:r>
    </w:p>
    <w:p>
      <w:pPr>
        <w:pStyle w:val="10"/>
        <w:ind w:firstLine="480"/>
      </w:pPr>
      <w:r>
        <w:rPr>
          <w:rFonts w:hint="eastAsia"/>
        </w:rPr>
        <w:t>（5）项目技术团队不少于2人，包括信息安全负责人至少1人，网络安全负责人至少1人。</w:t>
      </w:r>
    </w:p>
    <w:p>
      <w:pPr>
        <w:pStyle w:val="2"/>
      </w:pPr>
      <w:r>
        <w:rPr>
          <w:rFonts w:hint="eastAsia"/>
        </w:rPr>
        <w:t>服务期限</w:t>
      </w:r>
    </w:p>
    <w:p>
      <w:r>
        <w:rPr>
          <w:rFonts w:hint="eastAsia"/>
        </w:rPr>
        <w:t>升级</w:t>
      </w:r>
      <w:r>
        <w:t>服务要求中标方在合同签订</w:t>
      </w:r>
      <w:r>
        <w:rPr>
          <w:rFonts w:hint="eastAsia"/>
        </w:rPr>
        <w:t>2023年</w:t>
      </w:r>
      <w:r>
        <w:t>底完成</w:t>
      </w:r>
      <w:r>
        <w:rPr>
          <w:rFonts w:hint="eastAsia"/>
        </w:rPr>
        <w:t>，</w:t>
      </w:r>
      <w:r>
        <w:t>运维服务为年度服务。</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D440E0"/>
    <w:multiLevelType w:val="multilevel"/>
    <w:tmpl w:val="09D440E0"/>
    <w:lvl w:ilvl="0" w:tentative="0">
      <w:start w:val="1"/>
      <w:numFmt w:val="bullet"/>
      <w:suff w:val="space"/>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0D174ADF"/>
    <w:multiLevelType w:val="multilevel"/>
    <w:tmpl w:val="0D174AD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986590C"/>
    <w:multiLevelType w:val="multilevel"/>
    <w:tmpl w:val="1986590C"/>
    <w:lvl w:ilvl="0" w:tentative="0">
      <w:start w:val="1"/>
      <w:numFmt w:val="decimal"/>
      <w:pStyle w:val="2"/>
      <w:isLgl/>
      <w:lvlText w:val="%1"/>
      <w:lvlJc w:val="left"/>
      <w:pPr>
        <w:ind w:left="0" w:firstLine="0"/>
      </w:pPr>
      <w:rPr>
        <w:rFonts w:hint="eastAsia"/>
      </w:rPr>
    </w:lvl>
    <w:lvl w:ilvl="1" w:tentative="0">
      <w:start w:val="1"/>
      <w:numFmt w:val="decimal"/>
      <w:pStyle w:val="3"/>
      <w:isLgl/>
      <w:lvlText w:val="%1.%2"/>
      <w:lvlJc w:val="left"/>
      <w:pPr>
        <w:ind w:left="0" w:firstLine="0"/>
      </w:pPr>
      <w:rPr>
        <w:rFonts w:hint="eastAsia"/>
      </w:rPr>
    </w:lvl>
    <w:lvl w:ilvl="2" w:tentative="0">
      <w:start w:val="1"/>
      <w:numFmt w:val="decimal"/>
      <w:pStyle w:val="4"/>
      <w:isLgl/>
      <w:lvlText w:val="%1.%2.%3"/>
      <w:lvlJc w:val="left"/>
      <w:pPr>
        <w:ind w:left="0" w:firstLine="0"/>
      </w:pPr>
      <w:rPr>
        <w:rFonts w:hint="eastAsia"/>
      </w:rPr>
    </w:lvl>
    <w:lvl w:ilvl="3" w:tentative="0">
      <w:start w:val="1"/>
      <w:numFmt w:val="decimal"/>
      <w:pStyle w:val="5"/>
      <w:isLg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
    <w:nsid w:val="3A9F1B8C"/>
    <w:multiLevelType w:val="multilevel"/>
    <w:tmpl w:val="3A9F1B8C"/>
    <w:lvl w:ilvl="0" w:tentative="0">
      <w:start w:val="1"/>
      <w:numFmt w:val="decimal"/>
      <w:lvlText w:val="%1、"/>
      <w:lvlJc w:val="left"/>
      <w:pPr>
        <w:ind w:left="782" w:hanging="36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4">
    <w:nsid w:val="45CA2332"/>
    <w:multiLevelType w:val="multilevel"/>
    <w:tmpl w:val="45CA2332"/>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83665EF"/>
    <w:multiLevelType w:val="multilevel"/>
    <w:tmpl w:val="583665EF"/>
    <w:lvl w:ilvl="0" w:tentative="0">
      <w:start w:val="1"/>
      <w:numFmt w:val="chineseCountingThousand"/>
      <w:suff w:val="nothing"/>
      <w:lvlText w:val="%1."/>
      <w:lvlJc w:val="left"/>
      <w:pPr>
        <w:ind w:left="440" w:hanging="440"/>
      </w:pPr>
      <w:rPr>
        <w:rFonts w:hint="default"/>
      </w:rPr>
    </w:lvl>
    <w:lvl w:ilvl="1" w:tentative="0">
      <w:start w:val="1"/>
      <w:numFmt w:val="decimal"/>
      <w:suff w:val="nothing"/>
      <w:lvlText w:val="%2、"/>
      <w:lvlJc w:val="left"/>
      <w:pPr>
        <w:ind w:left="880" w:hanging="440"/>
      </w:pPr>
      <w:rPr>
        <w:rFonts w:hint="default"/>
      </w:rPr>
    </w:lvl>
    <w:lvl w:ilvl="2" w:tentative="0">
      <w:start w:val="1"/>
      <w:numFmt w:val="upperLetter"/>
      <w:suff w:val="nothing"/>
      <w:lvlText w:val="%3."/>
      <w:lvlJc w:val="left"/>
      <w:pPr>
        <w:ind w:left="1320" w:hanging="440"/>
      </w:pPr>
      <w:rPr>
        <w:rFonts w:hint="default"/>
      </w:rPr>
    </w:lvl>
    <w:lvl w:ilvl="3" w:tentative="0">
      <w:start w:val="1"/>
      <w:numFmt w:val="decimal"/>
      <w:lvlText w:val="%4."/>
      <w:lvlJc w:val="left"/>
      <w:pPr>
        <w:ind w:left="1760" w:hanging="440"/>
      </w:pPr>
      <w:rPr>
        <w:rFonts w:hint="default"/>
      </w:rPr>
    </w:lvl>
    <w:lvl w:ilvl="4" w:tentative="0">
      <w:start w:val="1"/>
      <w:numFmt w:val="lowerLetter"/>
      <w:lvlText w:val="%5)"/>
      <w:lvlJc w:val="left"/>
      <w:pPr>
        <w:ind w:left="2200" w:hanging="440"/>
      </w:pPr>
      <w:rPr>
        <w:rFonts w:hint="default"/>
      </w:rPr>
    </w:lvl>
    <w:lvl w:ilvl="5" w:tentative="0">
      <w:start w:val="1"/>
      <w:numFmt w:val="upperRoman"/>
      <w:lvlText w:val="%6."/>
      <w:lvlJc w:val="left"/>
      <w:pPr>
        <w:ind w:left="2640" w:hanging="440"/>
      </w:pPr>
      <w:rPr>
        <w:rFonts w:hint="default"/>
      </w:rPr>
    </w:lvl>
    <w:lvl w:ilvl="6" w:tentative="0">
      <w:start w:val="1"/>
      <w:numFmt w:val="decimal"/>
      <w:lvlText w:val="%7."/>
      <w:lvlJc w:val="left"/>
      <w:pPr>
        <w:ind w:left="3080" w:hanging="440"/>
      </w:pPr>
      <w:rPr>
        <w:rFonts w:hint="default"/>
      </w:rPr>
    </w:lvl>
    <w:lvl w:ilvl="7" w:tentative="0">
      <w:start w:val="1"/>
      <w:numFmt w:val="lowerLetter"/>
      <w:lvlText w:val="%8)"/>
      <w:lvlJc w:val="left"/>
      <w:pPr>
        <w:ind w:left="3520" w:hanging="440"/>
      </w:pPr>
      <w:rPr>
        <w:rFonts w:hint="default"/>
      </w:rPr>
    </w:lvl>
    <w:lvl w:ilvl="8" w:tentative="0">
      <w:start w:val="1"/>
      <w:numFmt w:val="upperRoman"/>
      <w:lvlText w:val="%9."/>
      <w:lvlJc w:val="left"/>
      <w:pPr>
        <w:ind w:left="3960" w:hanging="440"/>
      </w:pPr>
      <w:rPr>
        <w:rFonts w:hint="default"/>
      </w:rPr>
    </w:lvl>
  </w:abstractNum>
  <w:abstractNum w:abstractNumId="6">
    <w:nsid w:val="75010523"/>
    <w:multiLevelType w:val="multilevel"/>
    <w:tmpl w:val="7501052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1"/>
  </w:num>
  <w:num w:numId="3">
    <w:abstractNumId w:val="5"/>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oNotDisplayPageBoundaries w:val="true"/>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F1B"/>
    <w:rsid w:val="00012ADC"/>
    <w:rsid w:val="000C5D5D"/>
    <w:rsid w:val="001314F9"/>
    <w:rsid w:val="00147451"/>
    <w:rsid w:val="001C0ED6"/>
    <w:rsid w:val="00353630"/>
    <w:rsid w:val="0041578A"/>
    <w:rsid w:val="004C56AE"/>
    <w:rsid w:val="004E1DDE"/>
    <w:rsid w:val="005A14F8"/>
    <w:rsid w:val="005C1AA8"/>
    <w:rsid w:val="00632441"/>
    <w:rsid w:val="00672B78"/>
    <w:rsid w:val="006A67A3"/>
    <w:rsid w:val="006D2D95"/>
    <w:rsid w:val="00722DC4"/>
    <w:rsid w:val="0077057E"/>
    <w:rsid w:val="00782234"/>
    <w:rsid w:val="00792563"/>
    <w:rsid w:val="00803DDA"/>
    <w:rsid w:val="008662C9"/>
    <w:rsid w:val="008D1CF2"/>
    <w:rsid w:val="009201EF"/>
    <w:rsid w:val="009470CD"/>
    <w:rsid w:val="009A4DDD"/>
    <w:rsid w:val="009B5F1B"/>
    <w:rsid w:val="00A93C33"/>
    <w:rsid w:val="00B035AF"/>
    <w:rsid w:val="00B85D41"/>
    <w:rsid w:val="00C876C7"/>
    <w:rsid w:val="00CD67AC"/>
    <w:rsid w:val="00D53433"/>
    <w:rsid w:val="00D86895"/>
    <w:rsid w:val="00E21B77"/>
    <w:rsid w:val="00E86826"/>
    <w:rsid w:val="00EE5379"/>
    <w:rsid w:val="00F55BE7"/>
    <w:rsid w:val="00FD7642"/>
    <w:rsid w:val="FFF84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4"/>
      <w:szCs w:val="21"/>
      <w:lang w:val="en-US" w:eastAsia="zh-CN" w:bidi="ar-SA"/>
    </w:rPr>
  </w:style>
  <w:style w:type="paragraph" w:styleId="2">
    <w:name w:val="heading 1"/>
    <w:basedOn w:val="1"/>
    <w:next w:val="1"/>
    <w:link w:val="11"/>
    <w:qFormat/>
    <w:uiPriority w:val="9"/>
    <w:pPr>
      <w:keepNext/>
      <w:keepLines/>
      <w:numPr>
        <w:ilvl w:val="0"/>
        <w:numId w:val="1"/>
      </w:numPr>
      <w:spacing w:before="340" w:after="330" w:line="578" w:lineRule="auto"/>
      <w:outlineLvl w:val="0"/>
    </w:pPr>
    <w:rPr>
      <w:b/>
      <w:bCs/>
      <w:kern w:val="44"/>
      <w:sz w:val="28"/>
      <w:szCs w:val="44"/>
    </w:rPr>
  </w:style>
  <w:style w:type="paragraph" w:styleId="3">
    <w:name w:val="heading 2"/>
    <w:basedOn w:val="1"/>
    <w:next w:val="1"/>
    <w:link w:val="12"/>
    <w:unhideWhenUsed/>
    <w:qFormat/>
    <w:uiPriority w:val="9"/>
    <w:pPr>
      <w:keepNext/>
      <w:keepLines/>
      <w:numPr>
        <w:ilvl w:val="1"/>
        <w:numId w:val="1"/>
      </w:numPr>
      <w:spacing w:before="260" w:after="260" w:line="416" w:lineRule="auto"/>
      <w:outlineLvl w:val="1"/>
    </w:pPr>
    <w:rPr>
      <w:rFonts w:asciiTheme="majorHAnsi" w:hAnsiTheme="majorHAnsi" w:eastAsiaTheme="majorEastAsia" w:cstheme="majorBidi"/>
      <w:b/>
      <w:bCs/>
      <w:szCs w:val="32"/>
    </w:rPr>
  </w:style>
  <w:style w:type="paragraph" w:styleId="4">
    <w:name w:val="heading 3"/>
    <w:basedOn w:val="1"/>
    <w:next w:val="1"/>
    <w:link w:val="14"/>
    <w:unhideWhenUsed/>
    <w:qFormat/>
    <w:uiPriority w:val="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15"/>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6"/>
    <w:semiHidden/>
    <w:unhideWhenUsed/>
    <w:qFormat/>
    <w:uiPriority w:val="99"/>
    <w:pPr>
      <w:spacing w:line="240" w:lineRule="auto"/>
    </w:pPr>
    <w:rPr>
      <w:sz w:val="18"/>
      <w:szCs w:val="18"/>
    </w:rPr>
  </w:style>
  <w:style w:type="paragraph" w:styleId="7">
    <w:name w:val="Title"/>
    <w:basedOn w:val="1"/>
    <w:next w:val="1"/>
    <w:link w:val="13"/>
    <w:qFormat/>
    <w:uiPriority w:val="10"/>
    <w:pPr>
      <w:spacing w:before="240" w:after="60"/>
      <w:jc w:val="center"/>
      <w:outlineLvl w:val="0"/>
    </w:pPr>
    <w:rPr>
      <w:rFonts w:eastAsia="宋体" w:asciiTheme="majorHAnsi" w:hAnsiTheme="majorHAnsi" w:cstheme="majorBidi"/>
      <w:b/>
      <w:bCs/>
      <w:sz w:val="32"/>
      <w:szCs w:val="32"/>
    </w:rPr>
  </w:style>
  <w:style w:type="paragraph" w:styleId="10">
    <w:name w:val="List Paragraph"/>
    <w:basedOn w:val="1"/>
    <w:qFormat/>
    <w:uiPriority w:val="34"/>
    <w:pPr>
      <w:ind w:firstLine="420" w:firstLineChars="200"/>
    </w:pPr>
  </w:style>
  <w:style w:type="character" w:customStyle="1" w:styleId="11">
    <w:name w:val="标题 1 Char"/>
    <w:basedOn w:val="9"/>
    <w:link w:val="2"/>
    <w:qFormat/>
    <w:uiPriority w:val="9"/>
    <w:rPr>
      <w:b/>
      <w:bCs/>
      <w:kern w:val="44"/>
      <w:sz w:val="28"/>
      <w:szCs w:val="44"/>
    </w:rPr>
  </w:style>
  <w:style w:type="character" w:customStyle="1" w:styleId="12">
    <w:name w:val="标题 2 Char"/>
    <w:basedOn w:val="9"/>
    <w:link w:val="3"/>
    <w:qFormat/>
    <w:uiPriority w:val="9"/>
    <w:rPr>
      <w:rFonts w:asciiTheme="majorHAnsi" w:hAnsiTheme="majorHAnsi" w:eastAsiaTheme="majorEastAsia" w:cstheme="majorBidi"/>
      <w:b/>
      <w:bCs/>
      <w:sz w:val="24"/>
      <w:szCs w:val="32"/>
    </w:rPr>
  </w:style>
  <w:style w:type="character" w:customStyle="1" w:styleId="13">
    <w:name w:val="标题 Char"/>
    <w:basedOn w:val="9"/>
    <w:link w:val="7"/>
    <w:qFormat/>
    <w:uiPriority w:val="10"/>
    <w:rPr>
      <w:rFonts w:eastAsia="宋体" w:asciiTheme="majorHAnsi" w:hAnsiTheme="majorHAnsi" w:cstheme="majorBidi"/>
      <w:b/>
      <w:bCs/>
      <w:sz w:val="32"/>
      <w:szCs w:val="32"/>
    </w:rPr>
  </w:style>
  <w:style w:type="character" w:customStyle="1" w:styleId="14">
    <w:name w:val="标题 3 Char"/>
    <w:basedOn w:val="9"/>
    <w:link w:val="4"/>
    <w:qFormat/>
    <w:uiPriority w:val="9"/>
    <w:rPr>
      <w:b/>
      <w:bCs/>
      <w:sz w:val="32"/>
      <w:szCs w:val="32"/>
    </w:rPr>
  </w:style>
  <w:style w:type="character" w:customStyle="1" w:styleId="15">
    <w:name w:val="标题 4 Char"/>
    <w:basedOn w:val="9"/>
    <w:link w:val="5"/>
    <w:qFormat/>
    <w:uiPriority w:val="9"/>
    <w:rPr>
      <w:rFonts w:asciiTheme="majorHAnsi" w:hAnsiTheme="majorHAnsi" w:eastAsiaTheme="majorEastAsia" w:cstheme="majorBidi"/>
      <w:b/>
      <w:bCs/>
      <w:sz w:val="28"/>
      <w:szCs w:val="28"/>
    </w:rPr>
  </w:style>
  <w:style w:type="character" w:customStyle="1" w:styleId="16">
    <w:name w:val="批注框文本 Char"/>
    <w:basedOn w:val="9"/>
    <w:link w:val="6"/>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1436</Words>
  <Characters>8190</Characters>
  <Lines>68</Lines>
  <Paragraphs>19</Paragraphs>
  <TotalTime>2</TotalTime>
  <ScaleCrop>false</ScaleCrop>
  <LinksUpToDate>false</LinksUpToDate>
  <CharactersWithSpaces>9607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2023-10-17T16:06:00Z</dcterms:created>
  <dc:creator>Gang</dc:creator>
  <cp:lastModifiedBy>oJX</cp:lastModifiedBy>
  <dcterms:modified xsi:type="dcterms:W3CDTF">2023-10-17T20:30:24Z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