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年重大质量活动项目申报指南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FangSong_GB2312" w:hAnsi="FangSong_GB2312" w:eastAsia="FangSong_GB2312"/>
          <w:sz w:val="32"/>
          <w:szCs w:val="32"/>
          <w:highlight w:val="none"/>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仿宋_GB2312" w:eastAsia="仿宋_GB2312" w:cs="宋体"/>
          <w:kern w:val="2"/>
          <w:sz w:val="32"/>
          <w:szCs w:val="32"/>
          <w:highlight w:val="none"/>
          <w:lang w:eastAsia="zh-CN"/>
        </w:rPr>
        <w:t>（五）</w:t>
      </w:r>
      <w:r>
        <w:rPr>
          <w:rFonts w:hint="eastAsia" w:ascii="Times New Roman" w:hAnsi="Times New Roman" w:eastAsia="仿宋_GB2312" w:cs="Times New Roman"/>
          <w:sz w:val="32"/>
          <w:szCs w:val="32"/>
          <w:highlight w:val="none"/>
        </w:rPr>
        <w:t>相关活动经</w:t>
      </w:r>
      <w:r>
        <w:rPr>
          <w:rFonts w:hint="eastAsia" w:ascii="仿宋_GB2312" w:hAnsi="仿宋_GB2312" w:eastAsia="仿宋_GB2312" w:cs="仿宋_GB2312"/>
          <w:color w:val="auto"/>
          <w:kern w:val="2"/>
          <w:sz w:val="32"/>
          <w:szCs w:val="32"/>
          <w:highlight w:val="none"/>
          <w:lang w:val="en-US" w:eastAsia="zh-CN" w:bidi="ar"/>
        </w:rPr>
        <w:t>区质量强区工作领导小组办公室批准召开</w:t>
      </w:r>
      <w:r>
        <w:rPr>
          <w:rFonts w:hint="eastAsia" w:ascii="Times New Roman" w:hAnsi="Times New Roman" w:eastAsia="仿宋_GB2312" w:cs="Times New Roman"/>
          <w:sz w:val="32"/>
          <w:szCs w:val="32"/>
          <w:highlight w:val="none"/>
        </w:rPr>
        <w:t>，在活动开展前提交</w:t>
      </w:r>
      <w:r>
        <w:rPr>
          <w:rFonts w:hint="eastAsia" w:ascii="Times New Roman" w:hAnsi="Times New Roman" w:eastAsia="仿宋_GB2312" w:cs="Times New Roman"/>
          <w:sz w:val="32"/>
          <w:szCs w:val="32"/>
          <w:highlight w:val="none"/>
          <w:lang w:eastAsia="zh-CN"/>
        </w:rPr>
        <w:t>备案函件</w:t>
      </w:r>
      <w:r>
        <w:rPr>
          <w:rFonts w:hint="eastAsia" w:ascii="Times New Roman" w:hAnsi="Times New Roman" w:eastAsia="仿宋_GB2312" w:cs="Times New Roman"/>
          <w:sz w:val="32"/>
          <w:szCs w:val="32"/>
          <w:highlight w:val="none"/>
        </w:rPr>
        <w:t>和活动方案。</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仿宋_GB2312" w:eastAsia="仿宋_GB2312" w:cs="宋体"/>
          <w:kern w:val="2"/>
          <w:sz w:val="32"/>
          <w:szCs w:val="32"/>
          <w:highlight w:val="none"/>
          <w:lang w:eastAsia="zh-CN"/>
        </w:rPr>
        <w:t>（六）</w:t>
      </w:r>
      <w:r>
        <w:rPr>
          <w:rFonts w:hint="eastAsia" w:ascii="Times New Roman" w:hAnsi="Times New Roman" w:eastAsia="仿宋_GB2312" w:cs="Times New Roman"/>
          <w:sz w:val="32"/>
          <w:szCs w:val="32"/>
          <w:highlight w:val="none"/>
        </w:rPr>
        <w:t>活动在光明区举办，完成时间为上一年。</w:t>
      </w:r>
    </w:p>
    <w:p>
      <w:pPr>
        <w:spacing w:line="560" w:lineRule="exact"/>
        <w:ind w:firstLine="640" w:firstLineChars="200"/>
        <w:rPr>
          <w:rFonts w:hint="eastAsia"/>
          <w:lang w:eastAsia="zh-CN"/>
        </w:rPr>
      </w:pPr>
      <w:r>
        <w:rPr>
          <w:rFonts w:hint="eastAsia" w:ascii="仿宋_GB2312" w:eastAsia="仿宋_GB2312" w:cs="宋体"/>
          <w:kern w:val="2"/>
          <w:sz w:val="32"/>
          <w:szCs w:val="32"/>
          <w:highlight w:val="none"/>
          <w:lang w:eastAsia="zh-CN"/>
        </w:rPr>
        <w:t>（七）</w:t>
      </w:r>
      <w:r>
        <w:rPr>
          <w:rFonts w:hint="eastAsia" w:ascii="Times New Roman" w:hAnsi="Times New Roman" w:eastAsia="仿宋_GB2312" w:cs="Times New Roman"/>
          <w:sz w:val="32"/>
          <w:szCs w:val="32"/>
          <w:highlight w:val="none"/>
        </w:rPr>
        <w:t>活动主题应为</w:t>
      </w:r>
      <w:r>
        <w:rPr>
          <w:rFonts w:hint="eastAsia" w:ascii="Times New Roman" w:hAnsi="Times New Roman" w:eastAsia="仿宋_GB2312" w:cs="Times New Roman"/>
          <w:sz w:val="32"/>
          <w:szCs w:val="32"/>
          <w:highlight w:val="none"/>
          <w:lang w:eastAsia="zh-CN"/>
        </w:rPr>
        <w:t>先进质量管理、质量创新、品牌建设</w:t>
      </w:r>
      <w:r>
        <w:rPr>
          <w:rFonts w:hint="eastAsia" w:ascii="Times New Roman" w:hAnsi="Times New Roman" w:eastAsia="仿宋_GB2312" w:cs="Times New Roman"/>
          <w:sz w:val="32"/>
          <w:szCs w:val="32"/>
          <w:highlight w:val="none"/>
        </w:rPr>
        <w:t>等方面内容，以促进质量和品牌提升为核心内容</w:t>
      </w:r>
      <w:r>
        <w:rPr>
          <w:rFonts w:hint="eastAsia" w:ascii="Times New Roman" w:hAnsi="Times New Roman" w:eastAsia="仿宋_GB2312" w:cs="Times New Roman"/>
          <w:sz w:val="32"/>
          <w:szCs w:val="32"/>
          <w:highlight w:val="none"/>
          <w:lang w:eastAsia="zh-CN"/>
        </w:rPr>
        <w:t>，属于非营利性质量品牌公共服务活动，</w:t>
      </w:r>
      <w:r>
        <w:rPr>
          <w:rFonts w:hint="eastAsia" w:ascii="Times New Roman" w:hAnsi="Times New Roman" w:eastAsia="仿宋_GB2312" w:cs="Times New Roman"/>
          <w:sz w:val="32"/>
          <w:szCs w:val="32"/>
          <w:highlight w:val="none"/>
        </w:rPr>
        <w:t>对提升我区企业</w:t>
      </w:r>
      <w:r>
        <w:rPr>
          <w:rFonts w:hint="eastAsia" w:ascii="Times New Roman" w:hAnsi="Times New Roman" w:eastAsia="仿宋_GB2312" w:cs="Times New Roman"/>
          <w:sz w:val="32"/>
          <w:szCs w:val="32"/>
          <w:highlight w:val="none"/>
          <w:lang w:eastAsia="zh-CN"/>
        </w:rPr>
        <w:t>质量品牌</w:t>
      </w:r>
      <w:r>
        <w:rPr>
          <w:rFonts w:hint="eastAsia" w:ascii="Times New Roman" w:hAnsi="Times New Roman" w:eastAsia="仿宋_GB2312" w:cs="Times New Roman"/>
          <w:sz w:val="32"/>
          <w:szCs w:val="32"/>
          <w:highlight w:val="none"/>
        </w:rPr>
        <w:t>意识</w:t>
      </w:r>
      <w:r>
        <w:rPr>
          <w:rFonts w:hint="eastAsia" w:ascii="Times New Roman" w:hAnsi="Times New Roman" w:eastAsia="仿宋_GB2312" w:cs="Times New Roman"/>
          <w:sz w:val="32"/>
          <w:szCs w:val="32"/>
          <w:highlight w:val="none"/>
          <w:lang w:eastAsia="zh-CN"/>
        </w:rPr>
        <w:t>及</w:t>
      </w:r>
      <w:r>
        <w:rPr>
          <w:rFonts w:hint="eastAsia" w:ascii="Times New Roman" w:hAnsi="Times New Roman" w:eastAsia="仿宋_GB2312" w:cs="Times New Roman"/>
          <w:sz w:val="32"/>
          <w:szCs w:val="32"/>
          <w:highlight w:val="none"/>
        </w:rPr>
        <w:t>工作水平有积极作用</w:t>
      </w:r>
      <w:r>
        <w:rPr>
          <w:rFonts w:hint="eastAsia" w:ascii="Times New Roman" w:hAnsi="Times New Roman" w:eastAsia="仿宋_GB2312" w:cs="Times New Roman"/>
          <w:sz w:val="32"/>
          <w:szCs w:val="32"/>
          <w:highlight w:val="none"/>
          <w:lang w:eastAsia="zh-CN"/>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申请书，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三</w:t>
      </w:r>
      <w:r>
        <w:rPr>
          <w:rFonts w:hint="eastAsia" w:ascii="仿宋_GB2312" w:hAnsi="楷体_GB2312" w:eastAsia="仿宋_GB2312" w:cs="楷体_GB2312"/>
          <w:sz w:val="32"/>
          <w:szCs w:val="32"/>
        </w:rPr>
        <w:t>）企业信用报告（通过深圳信用网打印完整版信用报告）。</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四</w:t>
      </w:r>
      <w:r>
        <w:rPr>
          <w:rFonts w:hint="eastAsia" w:ascii="仿宋_GB2312" w:hAnsi="楷体_GB2312" w:eastAsia="仿宋_GB2312" w:cs="楷体_GB2312"/>
          <w:sz w:val="32"/>
          <w:szCs w:val="32"/>
        </w:rPr>
        <w:t>）法人授权委托书，法定代表人身份证复印件及经办人身份证复印件（法定代表人身份证无须验原件）。</w:t>
      </w:r>
    </w:p>
    <w:p>
      <w:pPr>
        <w:kinsoku w:val="0"/>
        <w:overflowPunct w:val="0"/>
        <w:autoSpaceDE w:val="0"/>
        <w:autoSpaceDN w:val="0"/>
        <w:spacing w:line="560" w:lineRule="exact"/>
        <w:ind w:firstLine="640" w:firstLineChars="200"/>
        <w:rPr>
          <w:rFonts w:ascii="仿宋_GB2312" w:hAnsi="楷体_GB2312" w:eastAsia="仿宋_GB2312" w:cs="楷体_GB2312"/>
          <w:b/>
          <w:bCs/>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rPr>
        <w:t>）深圳市市场监督管理局光明监管局要求提交的其他资料或必要说明等。</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numPr>
          <w:ilvl w:val="0"/>
          <w:numId w:val="0"/>
        </w:numPr>
        <w:kinsoku w:val="0"/>
        <w:overflowPunct w:val="0"/>
        <w:autoSpaceDE w:val="0"/>
        <w:autoSpaceDN w:val="0"/>
        <w:spacing w:line="560" w:lineRule="exact"/>
        <w:ind w:leftChars="0"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val="en-US" w:eastAsia="zh-CN"/>
        </w:rPr>
        <w:t>（六）会前备案函件和活动方案。</w:t>
      </w:r>
    </w:p>
    <w:p>
      <w:pPr>
        <w:numPr>
          <w:ilvl w:val="0"/>
          <w:numId w:val="0"/>
        </w:numPr>
        <w:kinsoku/>
        <w:overflowPunct w:val="0"/>
        <w:autoSpaceDE w:val="0"/>
        <w:autoSpaceDN w:val="0"/>
        <w:spacing w:line="560" w:lineRule="exact"/>
        <w:ind w:leftChars="0" w:firstLine="640" w:firstLineChars="200"/>
        <w:rPr>
          <w:rFonts w:hint="default"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val="en-US" w:eastAsia="zh-CN"/>
        </w:rPr>
        <w:t>（七）</w:t>
      </w:r>
      <w:r>
        <w:rPr>
          <w:rFonts w:hint="default" w:ascii="仿宋_GB2312" w:hAnsi="楷体_GB2312" w:eastAsia="仿宋_GB2312" w:cs="楷体_GB2312"/>
          <w:sz w:val="32"/>
          <w:szCs w:val="32"/>
          <w:highlight w:val="none"/>
          <w:lang w:val="en-US" w:eastAsia="zh-CN"/>
        </w:rPr>
        <w:t>活动工作总结、输出成果（包括会议通知、会议议程、会议手册、海报、签到表、现场照片</w:t>
      </w:r>
      <w:r>
        <w:rPr>
          <w:rFonts w:hint="eastAsia" w:ascii="仿宋_GB2312" w:hAnsi="楷体_GB2312" w:eastAsia="仿宋_GB2312" w:cs="楷体_GB2312"/>
          <w:sz w:val="32"/>
          <w:szCs w:val="32"/>
          <w:highlight w:val="none"/>
          <w:lang w:val="en-US" w:eastAsia="zh-CN"/>
        </w:rPr>
        <w:t>、</w:t>
      </w:r>
      <w:r>
        <w:rPr>
          <w:rFonts w:hint="default" w:ascii="仿宋_GB2312" w:hAnsi="楷体_GB2312" w:eastAsia="仿宋_GB2312" w:cs="楷体_GB2312"/>
          <w:sz w:val="32"/>
          <w:szCs w:val="32"/>
          <w:highlight w:val="none"/>
          <w:lang w:val="en-US" w:eastAsia="zh-CN"/>
        </w:rPr>
        <w:t>宣传报道情况等）。</w:t>
      </w:r>
    </w:p>
    <w:p>
      <w:pPr>
        <w:spacing w:line="560" w:lineRule="exact"/>
        <w:ind w:firstLine="640" w:firstLineChars="200"/>
        <w:rPr>
          <w:rFonts w:hint="eastAsia"/>
        </w:rPr>
      </w:pPr>
      <w:r>
        <w:rPr>
          <w:rFonts w:hint="eastAsia" w:ascii="仿宋_GB2312" w:hAnsi="楷体_GB2312" w:eastAsia="仿宋_GB2312" w:cs="楷体_GB2312"/>
          <w:sz w:val="32"/>
          <w:szCs w:val="32"/>
          <w:highlight w:val="none"/>
          <w:lang w:val="en-US" w:eastAsia="zh-CN"/>
        </w:rPr>
        <w:t>（八）</w:t>
      </w:r>
      <w:r>
        <w:rPr>
          <w:rFonts w:hint="eastAsia" w:ascii="仿宋_GB2312" w:hAnsi="楷体_GB2312" w:eastAsia="仿宋_GB2312" w:cs="楷体_GB2312"/>
          <w:sz w:val="32"/>
          <w:szCs w:val="32"/>
          <w:highlight w:val="none"/>
        </w:rPr>
        <w:t>项目</w:t>
      </w:r>
      <w:r>
        <w:rPr>
          <w:rFonts w:hint="eastAsia" w:ascii="仿宋_GB2312" w:hAnsi="楷体_GB2312" w:eastAsia="仿宋_GB2312" w:cs="楷体_GB2312"/>
          <w:sz w:val="32"/>
          <w:szCs w:val="32"/>
          <w:highlight w:val="none"/>
          <w:lang w:eastAsia="zh-CN"/>
        </w:rPr>
        <w:t>专项</w:t>
      </w:r>
      <w:r>
        <w:rPr>
          <w:rFonts w:hint="eastAsia" w:ascii="仿宋_GB2312" w:hAnsi="楷体_GB2312" w:eastAsia="仿宋_GB2312" w:cs="楷体_GB2312"/>
          <w:sz w:val="32"/>
          <w:szCs w:val="32"/>
          <w:highlight w:val="none"/>
        </w:rPr>
        <w:t>审计报告。</w:t>
      </w:r>
      <w:bookmarkStart w:id="0" w:name="_GoBack"/>
      <w:bookmarkEnd w:id="0"/>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DF2F14-9007-4247-8716-BA975F8CDE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BDF305A-81AC-4004-952B-1F69B20E7289}"/>
  </w:font>
  <w:font w:name="方正小标宋_GBK">
    <w:panose1 w:val="02000000000000000000"/>
    <w:charset w:val="86"/>
    <w:family w:val="script"/>
    <w:pitch w:val="default"/>
    <w:sig w:usb0="A00002BF" w:usb1="38CF7CFA" w:usb2="00082016" w:usb3="00000000" w:csb0="00040001" w:csb1="00000000"/>
    <w:embedRegular r:id="rId3" w:fontKey="{87C48E13-9F87-491F-A8B8-15154E09A7DC}"/>
  </w:font>
  <w:font w:name="仿宋_GB2312">
    <w:panose1 w:val="02010609030101010101"/>
    <w:charset w:val="86"/>
    <w:family w:val="modern"/>
    <w:pitch w:val="default"/>
    <w:sig w:usb0="00000001" w:usb1="080E0000" w:usb2="00000000" w:usb3="00000000" w:csb0="00040000" w:csb1="00000000"/>
    <w:embedRegular r:id="rId4" w:fontKey="{389B1DC9-83E6-4772-949C-93E928112A43}"/>
  </w:font>
  <w:font w:name="FangSong_GB2312">
    <w:altName w:val="仿宋_GB2312"/>
    <w:panose1 w:val="00000000000000000000"/>
    <w:charset w:val="86"/>
    <w:family w:val="auto"/>
    <w:pitch w:val="default"/>
    <w:sig w:usb0="00000000" w:usb1="00000000" w:usb2="00000000" w:usb3="00000000" w:csb0="00040000" w:csb1="00000000"/>
    <w:embedRegular r:id="rId5" w:fontKey="{8644DFA0-C5DD-444B-BF6A-C644F9A3AB76}"/>
  </w:font>
  <w:font w:name="楷体_GB2312">
    <w:panose1 w:val="02010609030101010101"/>
    <w:charset w:val="86"/>
    <w:family w:val="modern"/>
    <w:pitch w:val="default"/>
    <w:sig w:usb0="00000001" w:usb1="080E0000" w:usb2="00000000" w:usb3="00000000" w:csb0="00040000" w:csb1="00000000"/>
    <w:embedRegular r:id="rId6" w:fontKey="{CEE2C8E0-29B2-4BCF-81FE-2793750A0F03}"/>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5064B6"/>
    <w:rsid w:val="03681C3C"/>
    <w:rsid w:val="04E21E5F"/>
    <w:rsid w:val="07243DBF"/>
    <w:rsid w:val="0ABF004E"/>
    <w:rsid w:val="0AF84D17"/>
    <w:rsid w:val="0C0F70F9"/>
    <w:rsid w:val="0C513A88"/>
    <w:rsid w:val="0CB832EC"/>
    <w:rsid w:val="0D325F2D"/>
    <w:rsid w:val="106D0892"/>
    <w:rsid w:val="109024B1"/>
    <w:rsid w:val="124D44D7"/>
    <w:rsid w:val="12530AB8"/>
    <w:rsid w:val="13C17950"/>
    <w:rsid w:val="13C46041"/>
    <w:rsid w:val="14FA090F"/>
    <w:rsid w:val="16956BC5"/>
    <w:rsid w:val="176833EC"/>
    <w:rsid w:val="1865390F"/>
    <w:rsid w:val="186D30FE"/>
    <w:rsid w:val="18C31B6E"/>
    <w:rsid w:val="1BAD1FB6"/>
    <w:rsid w:val="1BC923DA"/>
    <w:rsid w:val="1BE44C1C"/>
    <w:rsid w:val="1C0E2F29"/>
    <w:rsid w:val="1D185152"/>
    <w:rsid w:val="1D5E3A3C"/>
    <w:rsid w:val="1D7338BD"/>
    <w:rsid w:val="1E1B192D"/>
    <w:rsid w:val="1E366767"/>
    <w:rsid w:val="1E604B3F"/>
    <w:rsid w:val="1F0472EE"/>
    <w:rsid w:val="1FDE6F42"/>
    <w:rsid w:val="20515ADA"/>
    <w:rsid w:val="21326193"/>
    <w:rsid w:val="21B100DE"/>
    <w:rsid w:val="228914BF"/>
    <w:rsid w:val="232C6AF6"/>
    <w:rsid w:val="25C150D2"/>
    <w:rsid w:val="2623574F"/>
    <w:rsid w:val="26410880"/>
    <w:rsid w:val="27E2526A"/>
    <w:rsid w:val="2A181124"/>
    <w:rsid w:val="2A297180"/>
    <w:rsid w:val="2C0529E2"/>
    <w:rsid w:val="2D7367B0"/>
    <w:rsid w:val="2DE57862"/>
    <w:rsid w:val="2ED605FF"/>
    <w:rsid w:val="2FB71E20"/>
    <w:rsid w:val="30551017"/>
    <w:rsid w:val="306C1B7D"/>
    <w:rsid w:val="30A27D54"/>
    <w:rsid w:val="30DD4C1E"/>
    <w:rsid w:val="31EA18EB"/>
    <w:rsid w:val="32275720"/>
    <w:rsid w:val="324E7351"/>
    <w:rsid w:val="32B83874"/>
    <w:rsid w:val="347D0DB4"/>
    <w:rsid w:val="351F7AFD"/>
    <w:rsid w:val="35415F83"/>
    <w:rsid w:val="365B70E1"/>
    <w:rsid w:val="370229E4"/>
    <w:rsid w:val="375647F4"/>
    <w:rsid w:val="38DD3F57"/>
    <w:rsid w:val="39BA7DF4"/>
    <w:rsid w:val="39F5772D"/>
    <w:rsid w:val="3AC30F2B"/>
    <w:rsid w:val="3AFB388B"/>
    <w:rsid w:val="3C83436B"/>
    <w:rsid w:val="3E3E3CEC"/>
    <w:rsid w:val="3FD12086"/>
    <w:rsid w:val="411062EB"/>
    <w:rsid w:val="41B810BD"/>
    <w:rsid w:val="42BC2E2F"/>
    <w:rsid w:val="456A0F59"/>
    <w:rsid w:val="45C0125A"/>
    <w:rsid w:val="45C066F8"/>
    <w:rsid w:val="461E46EC"/>
    <w:rsid w:val="48024430"/>
    <w:rsid w:val="482F3EE8"/>
    <w:rsid w:val="48706D25"/>
    <w:rsid w:val="48717430"/>
    <w:rsid w:val="48A216B1"/>
    <w:rsid w:val="48E4412C"/>
    <w:rsid w:val="49536469"/>
    <w:rsid w:val="49C306E3"/>
    <w:rsid w:val="4C282587"/>
    <w:rsid w:val="4CB8347F"/>
    <w:rsid w:val="4CCB6691"/>
    <w:rsid w:val="4CFF0DB6"/>
    <w:rsid w:val="4D0915E6"/>
    <w:rsid w:val="4E125FF9"/>
    <w:rsid w:val="4E630603"/>
    <w:rsid w:val="4EAF50F9"/>
    <w:rsid w:val="4EC32979"/>
    <w:rsid w:val="4EE72FE2"/>
    <w:rsid w:val="4F0D7FC7"/>
    <w:rsid w:val="4FC6615D"/>
    <w:rsid w:val="4FD244A3"/>
    <w:rsid w:val="515A6EDA"/>
    <w:rsid w:val="521B4FA9"/>
    <w:rsid w:val="523B1EEE"/>
    <w:rsid w:val="5479292E"/>
    <w:rsid w:val="55CE0F0C"/>
    <w:rsid w:val="55DB13C7"/>
    <w:rsid w:val="564A30B5"/>
    <w:rsid w:val="565B5006"/>
    <w:rsid w:val="568E6619"/>
    <w:rsid w:val="56D4712F"/>
    <w:rsid w:val="574222EF"/>
    <w:rsid w:val="57487A8C"/>
    <w:rsid w:val="57CC0FC7"/>
    <w:rsid w:val="580C13CB"/>
    <w:rsid w:val="59957B52"/>
    <w:rsid w:val="59A029E0"/>
    <w:rsid w:val="59B85CA7"/>
    <w:rsid w:val="59C06B4D"/>
    <w:rsid w:val="5BE11D53"/>
    <w:rsid w:val="5C1133F9"/>
    <w:rsid w:val="5C142195"/>
    <w:rsid w:val="5C311D40"/>
    <w:rsid w:val="5C366FAA"/>
    <w:rsid w:val="5D887B53"/>
    <w:rsid w:val="60B5441C"/>
    <w:rsid w:val="61B0127A"/>
    <w:rsid w:val="62255EA3"/>
    <w:rsid w:val="62557F41"/>
    <w:rsid w:val="63610D97"/>
    <w:rsid w:val="648A1A8D"/>
    <w:rsid w:val="657257F0"/>
    <w:rsid w:val="670C5799"/>
    <w:rsid w:val="676F0077"/>
    <w:rsid w:val="680A5F81"/>
    <w:rsid w:val="694D15DB"/>
    <w:rsid w:val="6A197339"/>
    <w:rsid w:val="6AE3680B"/>
    <w:rsid w:val="6CB70040"/>
    <w:rsid w:val="6D176D30"/>
    <w:rsid w:val="6DA57B0C"/>
    <w:rsid w:val="707029DF"/>
    <w:rsid w:val="70CC2F58"/>
    <w:rsid w:val="718379A0"/>
    <w:rsid w:val="72100309"/>
    <w:rsid w:val="72B833E8"/>
    <w:rsid w:val="73182E18"/>
    <w:rsid w:val="733F1B9F"/>
    <w:rsid w:val="745A2518"/>
    <w:rsid w:val="74DF1F32"/>
    <w:rsid w:val="7685067F"/>
    <w:rsid w:val="76D55E75"/>
    <w:rsid w:val="777161B8"/>
    <w:rsid w:val="77720685"/>
    <w:rsid w:val="78947487"/>
    <w:rsid w:val="79200294"/>
    <w:rsid w:val="793E115E"/>
    <w:rsid w:val="7991214A"/>
    <w:rsid w:val="79C1030D"/>
    <w:rsid w:val="7A3E2CEF"/>
    <w:rsid w:val="7A870405"/>
    <w:rsid w:val="7B6273C9"/>
    <w:rsid w:val="7C352D2F"/>
    <w:rsid w:val="7DCE5232"/>
    <w:rsid w:val="7E634C51"/>
    <w:rsid w:val="7E71525D"/>
    <w:rsid w:val="7F6D6098"/>
    <w:rsid w:val="7F776E24"/>
    <w:rsid w:val="7FD14B1D"/>
    <w:rsid w:val="7FF833F1"/>
    <w:rsid w:val="979F8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3111</Words>
  <Characters>3264</Characters>
  <Lines>63</Lines>
  <Paragraphs>17</Paragraphs>
  <TotalTime>0</TotalTime>
  <ScaleCrop>false</ScaleCrop>
  <LinksUpToDate>false</LinksUpToDate>
  <CharactersWithSpaces>3272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2021-05-24T00:16:00Z</dcterms:created>
  <dc:creator>740095076@qq.com</dc:creator>
  <cp:lastModifiedBy>linsx1</cp:lastModifiedBy>
  <cp:lastPrinted>2022-10-10T17:54:00Z</cp:lastPrinted>
  <dcterms:modified xsi:type="dcterms:W3CDTF">2023-10-12T07:46:20Z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B0407ACE618A4D0E9A74B56F698D7A6A</vt:lpwstr>
  </property>
</Properties>
</file>