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  <w:t>文化产业园区（基地）评定项目申报指南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highlight w:val="none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 xml:space="preserve">（一）资助标准：第六条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新认定为国家级、省级、市级、区级文化产业（示范）园区（基地）的，分别给予一次性100万元、50万元、30万元、20万元奖励。园区或基地获得升级评定的，给予差额奖励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（二）资助范围：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自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《深圳市光明区关于支持文化及旅游产业发展的若干措施》（深光府规〔2021〕7号）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施行之日起，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被新认定为国家级、省级、市级、区级文化产业（示范）园区（基地）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bookmarkStart w:id="0" w:name="_Hlk73717862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到期重新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通过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核定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但未曾获得光明区同类型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奖励</w:t>
      </w:r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的文化产业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（示范）园区（基地）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获得升级认定的，按照评定级别给予差额部分奖励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此项目采用直接奖励方式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21"/>
        <w:tblW w:w="5659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5"/>
        <w:gridCol w:w="2871"/>
        <w:gridCol w:w="11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文化产业园区（基地）认定证明材料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企业信用信息资料（在深圳信用网打印完整版信用报告）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7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386EDE8-D843-4358-9DD7-C36B70CD3E4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8CD3209-FCF6-4860-B24B-2E8125DCF3D9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2A2CCAF-D693-4B8C-84A3-70F0C4ED102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18135D9-BFFD-4296-8945-83878362C448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3AB1205C-463C-4711-8560-9792A7436C9F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5F8B0A3E"/>
    <w:rsid w:val="00656641"/>
    <w:rsid w:val="01277748"/>
    <w:rsid w:val="02A91DA6"/>
    <w:rsid w:val="030D4AC8"/>
    <w:rsid w:val="0321400D"/>
    <w:rsid w:val="03496B61"/>
    <w:rsid w:val="05C1367C"/>
    <w:rsid w:val="064E126A"/>
    <w:rsid w:val="06506E5A"/>
    <w:rsid w:val="0CBF6838"/>
    <w:rsid w:val="0D200115"/>
    <w:rsid w:val="14883E57"/>
    <w:rsid w:val="15FBE0C5"/>
    <w:rsid w:val="17F23A82"/>
    <w:rsid w:val="187410C9"/>
    <w:rsid w:val="187A7FF0"/>
    <w:rsid w:val="194C4CA0"/>
    <w:rsid w:val="19CD1E14"/>
    <w:rsid w:val="1C0F3C96"/>
    <w:rsid w:val="1D185750"/>
    <w:rsid w:val="1E7C4D29"/>
    <w:rsid w:val="1EC37822"/>
    <w:rsid w:val="1F951D22"/>
    <w:rsid w:val="1FAB46F7"/>
    <w:rsid w:val="20837D28"/>
    <w:rsid w:val="22311C64"/>
    <w:rsid w:val="22CA041E"/>
    <w:rsid w:val="237138FF"/>
    <w:rsid w:val="23B86930"/>
    <w:rsid w:val="2445710C"/>
    <w:rsid w:val="25827825"/>
    <w:rsid w:val="26852BE0"/>
    <w:rsid w:val="27155FD0"/>
    <w:rsid w:val="2A5E108E"/>
    <w:rsid w:val="2BD865A5"/>
    <w:rsid w:val="2CAF6831"/>
    <w:rsid w:val="2EA77FA9"/>
    <w:rsid w:val="2FD34873"/>
    <w:rsid w:val="30501746"/>
    <w:rsid w:val="34C2713A"/>
    <w:rsid w:val="3AFB7D0E"/>
    <w:rsid w:val="3B840CB4"/>
    <w:rsid w:val="3C7D481B"/>
    <w:rsid w:val="3EBF4567"/>
    <w:rsid w:val="3F9E2286"/>
    <w:rsid w:val="40372168"/>
    <w:rsid w:val="410276BA"/>
    <w:rsid w:val="41B95348"/>
    <w:rsid w:val="464E0A98"/>
    <w:rsid w:val="470B61DD"/>
    <w:rsid w:val="478979FD"/>
    <w:rsid w:val="4FFF2A07"/>
    <w:rsid w:val="504B1ED2"/>
    <w:rsid w:val="557D7DDB"/>
    <w:rsid w:val="562341D8"/>
    <w:rsid w:val="56C86B7F"/>
    <w:rsid w:val="59792AEC"/>
    <w:rsid w:val="5CAF05F7"/>
    <w:rsid w:val="5DDF06BF"/>
    <w:rsid w:val="5F8B0A3E"/>
    <w:rsid w:val="5F9F1CFF"/>
    <w:rsid w:val="63961BE0"/>
    <w:rsid w:val="658A2F16"/>
    <w:rsid w:val="65CC5D02"/>
    <w:rsid w:val="67BE1FEE"/>
    <w:rsid w:val="69F632C8"/>
    <w:rsid w:val="6DDA3DCA"/>
    <w:rsid w:val="6EF370DC"/>
    <w:rsid w:val="747F2966"/>
    <w:rsid w:val="75625BED"/>
    <w:rsid w:val="771C067A"/>
    <w:rsid w:val="7DA0505C"/>
    <w:rsid w:val="7F7FFF1B"/>
    <w:rsid w:val="7FD54E08"/>
    <w:rsid w:val="8FB17564"/>
    <w:rsid w:val="AFDF6906"/>
    <w:rsid w:val="F66FA8C8"/>
    <w:rsid w:val="F8FF7FF1"/>
    <w:rsid w:val="F9EF28B6"/>
    <w:rsid w:val="FF402BD6"/>
    <w:rsid w:val="FFF3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spacing w:before="50" w:beforeLines="50" w:beforeAutospacing="0" w:after="50" w:afterLines="50" w:afterAutospacing="0"/>
      <w:jc w:val="both"/>
      <w:outlineLvl w:val="0"/>
    </w:pPr>
    <w:rPr>
      <w:rFonts w:hint="eastAsia" w:ascii="宋体" w:hAnsi="宋体" w:eastAsia="黑体" w:cs="宋体"/>
      <w:bCs/>
      <w:color w:val="000000" w:themeColor="text1"/>
      <w:kern w:val="44"/>
      <w:szCs w:val="48"/>
      <w:lang w:bidi="ar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before="50" w:beforeLines="50" w:after="50" w:afterLines="50" w:line="560" w:lineRule="exact"/>
      <w:ind w:firstLine="723" w:firstLineChars="200"/>
      <w:outlineLvl w:val="1"/>
    </w:pPr>
    <w:rPr>
      <w:rFonts w:ascii="Times New Roman" w:hAnsi="Times New Roman" w:eastAsia="楷体_GB2312" w:cstheme="majorBidi"/>
      <w:bCs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560" w:lineRule="exact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 w:eastAsia="方正仿宋_GB2312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index 8"/>
    <w:basedOn w:val="1"/>
    <w:next w:val="1"/>
    <w:qFormat/>
    <w:uiPriority w:val="0"/>
    <w:pPr>
      <w:ind w:left="1400" w:leftChars="1400"/>
    </w:pPr>
  </w:style>
  <w:style w:type="paragraph" w:styleId="8">
    <w:name w:val="Body Text"/>
    <w:basedOn w:val="1"/>
    <w:next w:val="1"/>
    <w:qFormat/>
    <w:uiPriority w:val="0"/>
    <w:pPr>
      <w:spacing w:afterLines="0" w:afterAutospacing="0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0">
    <w:name w:val="Plain Text"/>
    <w:basedOn w:val="1"/>
    <w:next w:val="7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footnote text"/>
    <w:basedOn w:val="1"/>
    <w:link w:val="17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 w:line="360" w:lineRule="exact"/>
      <w:ind w:left="0" w:right="0" w:firstLine="420" w:firstLineChars="200"/>
      <w:jc w:val="left"/>
    </w:pPr>
    <w:rPr>
      <w:rFonts w:ascii="Times New Roman" w:hAnsi="Times New Roman" w:eastAsia="仿宋_GB2312" w:cs="Times New Roman"/>
      <w:sz w:val="18"/>
      <w:szCs w:val="18"/>
      <w:lang w:bidi="ar"/>
    </w:rPr>
  </w:style>
  <w:style w:type="paragraph" w:styleId="13">
    <w:name w:val="Body Text First Indent 2"/>
    <w:basedOn w:val="9"/>
    <w:qFormat/>
    <w:uiPriority w:val="0"/>
    <w:pPr>
      <w:ind w:left="0" w:leftChars="0" w:firstLine="420" w:firstLineChars="200"/>
    </w:p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脚注文本 字符"/>
    <w:basedOn w:val="16"/>
    <w:link w:val="12"/>
    <w:qFormat/>
    <w:uiPriority w:val="0"/>
    <w:rPr>
      <w:rFonts w:hint="default" w:ascii="Times New Roman" w:hAnsi="Times New Roman" w:eastAsia="仿宋_GB2312" w:cs="Times New Roman"/>
      <w:sz w:val="18"/>
      <w:szCs w:val="18"/>
    </w:rPr>
  </w:style>
  <w:style w:type="character" w:customStyle="1" w:styleId="18">
    <w:name w:val="标题 1 字符"/>
    <w:basedOn w:val="16"/>
    <w:link w:val="3"/>
    <w:qFormat/>
    <w:uiPriority w:val="0"/>
    <w:rPr>
      <w:rFonts w:ascii="宋体" w:hAnsi="宋体" w:eastAsia="黑体" w:cs="宋体"/>
      <w:bCs/>
      <w:color w:val="000000" w:themeColor="text1"/>
      <w:kern w:val="44"/>
      <w:sz w:val="32"/>
      <w:szCs w:val="21"/>
      <w14:textFill>
        <w14:solidFill>
          <w14:schemeClr w14:val="tx1"/>
        </w14:solidFill>
      </w14:textFill>
    </w:rPr>
  </w:style>
  <w:style w:type="character" w:customStyle="1" w:styleId="19">
    <w:name w:val="标题 2 字符"/>
    <w:basedOn w:val="16"/>
    <w:link w:val="4"/>
    <w:qFormat/>
    <w:uiPriority w:val="0"/>
    <w:rPr>
      <w:rFonts w:ascii="Times New Roman" w:hAnsi="Times New Roman" w:eastAsia="楷体_GB2312" w:cstheme="majorBidi"/>
      <w:bCs/>
      <w:sz w:val="32"/>
      <w:szCs w:val="32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仿宋_GB2312" w:cs="Times New Roman"/>
      <w:b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2023-08-26T18:07:00Z</dcterms:created>
  <dc:creator>李海娟</dc:creator>
  <cp:lastModifiedBy>如</cp:lastModifiedBy>
  <dcterms:modified xsi:type="dcterms:W3CDTF">2023-12-14T14:36:44Z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EA33091F99EC4D08A6E7FFE0C419F52D_11</vt:lpwstr>
  </property>
</Properties>
</file>