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lang w:val="en-US" w:eastAsia="zh-CN"/>
        </w:rPr>
        <w:t>实体书店项目申报指南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lang w:val="en-US" w:eastAsia="zh-CN"/>
        </w:rPr>
        <w:t>四、资助方式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（一）资助标准：第十一条 支持社会力量建设实体书店。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1.对在光明区内新开办或升级改造的实体书店，按书店设计、装修等费用投入的30%给予一次性最高100万元建设资助。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2.对营业面积5000平方米（含）以上且上年度营业收入1000万元（含）以上的大型实体书店，按照每月每平方米20元、每年最高100万元的标准给予房租补贴，每家书店补贴期限不超过三年。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3.对在光明区内运营1年以上的实体书店，营业面积200-500平方米（含）的，给予每年5万元运营奖励；500平方米以上的，给予每年10万元运营奖励。每家书店最多支持三年。此项资助不能与本条2.在同一年度内申请。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4.对于公共书吧，根据书吧实际经营面积等条件，给予运营扶持。一类公共书吧给予每年60万元运营扶持；二类公共书吧给予每年40万元运营扶持；三类公共书吧给予每年20万元运营扶持。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lang w:val="en-US" w:eastAsia="zh-CN"/>
        </w:rPr>
        <w:t>（二）资助范围包括：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1.实体书店建设项目：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（1）实体书店在光明区依法注册设立并取得《工商营业执照》《出版物经营许可证》，有固定经营场所，并以图书、报纸、期刊、音像制品、电子出版物等出版物销售为主营业务；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（2）指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2022年1月1日后，在光明区新开办或升级改造的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实体书店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，以施工合同、相关票据时间为参考依据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；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（3）已拿到其他同类相关财政补贴的，不予重复资助；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（4）此项目采用事后资助方式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。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2.实体书店运营项目：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（1）实体书店在光明区依法注册设立并取得《工商营业执照》《出版物经营许可证》，有固定经营场所，并以图书、报纸、期刊、音像制品、电子出版物等出版物销售为主营业务；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（2）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实体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书店指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2022年1月1日至申报通知发布之日，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已在光明区注册经营12个月以上；“实体书店建设项目”与“实体书店运营项目”不能在同一年度内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同时</w:t>
      </w:r>
      <w:r>
        <w:rPr>
          <w:rFonts w:hint="default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申请；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（3）此项目采用事后资助方式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。</w:t>
      </w:r>
    </w:p>
    <w:p>
      <w:pPr>
        <w:widowControl/>
        <w:ind w:firstLine="660"/>
        <w:jc w:val="left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3.公共书吧运营项目：</w:t>
      </w:r>
    </w:p>
    <w:p>
      <w:pPr>
        <w:widowControl/>
        <w:ind w:firstLine="660"/>
        <w:jc w:val="both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（1）公共书吧指符合《深圳市公共书吧建设方案》要求，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运营主体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取得《工商营业执照》《出版物经营许可证》，或进行《出版物经营许可证》备案，有固定经营场所，以提供给公益性服务为主，以出售图书和提供阅读为主营业务；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在</w:t>
      </w:r>
      <w:r>
        <w:rPr>
          <w:rFonts w:hint="eastAsia" w:ascii="Times New Roman" w:hAnsi="Times New Roman" w:eastAsia="仿宋_GB2312" w:cs="Times New Roman"/>
          <w:i w:val="0"/>
          <w:caps w:val="0"/>
          <w:spacing w:val="5"/>
          <w:kern w:val="2"/>
          <w:sz w:val="32"/>
          <w:szCs w:val="32"/>
          <w:shd w:val="clear"/>
          <w:lang w:val="en-US" w:eastAsia="zh-CN" w:bidi="ar"/>
        </w:rPr>
        <w:t>2022年1月1日至申报通知发布之日，已在光明区经营12个月以上；</w:t>
      </w:r>
    </w:p>
    <w:p>
      <w:pPr>
        <w:widowControl/>
        <w:ind w:firstLine="660"/>
        <w:jc w:val="both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（2）公共书吧应满足《深圳市公共书吧建设方案》建设标准：一类书吧建设面积1000平方米以上，藏书30000册、图书更新率3000册/月、组织公益活动36场/年、服务时间56小时/周；二类书吧建设面积600-1000平方米，藏书20000册、图书更新率2000册/月、组织公益活动24场/年、服务时间56小时/周；三类书吧建设面积300-600平方米，藏书10000册、图书更新率1000册/月、组织公益活动12场/年、服务时间56小时/周；</w:t>
      </w:r>
    </w:p>
    <w:p>
      <w:pPr>
        <w:widowControl/>
        <w:ind w:firstLine="660"/>
        <w:jc w:val="both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5"/>
          <w:kern w:val="2"/>
          <w:sz w:val="32"/>
          <w:szCs w:val="32"/>
          <w:highlight w:val="none"/>
          <w:shd w:val="clear"/>
          <w:lang w:val="en-US" w:eastAsia="zh-CN" w:bidi="ar"/>
        </w:rPr>
        <w:t>（3）此项目采用事后资助方式。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</w:rPr>
      </w:pPr>
      <w:r>
        <w:rPr>
          <w:rFonts w:hint="default" w:ascii="Times New Roman" w:hAnsi="Times New Roman" w:eastAsia="黑体" w:cs="Times New Roman"/>
          <w:sz w:val="32"/>
          <w:szCs w:val="22"/>
          <w:lang w:val="en-US" w:eastAsia="zh-CN"/>
        </w:rPr>
        <w:t>五、申报材料</w:t>
      </w:r>
    </w:p>
    <w:p>
      <w:pPr>
        <w:widowControl/>
        <w:numPr>
          <w:ilvl w:val="-1"/>
          <w:numId w:val="0"/>
        </w:numPr>
        <w:spacing w:line="240" w:lineRule="auto"/>
        <w:ind w:firstLine="660" w:firstLineChars="0"/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bidi="ar"/>
        </w:rPr>
        <w:t>申报单位</w:t>
      </w:r>
      <w:r>
        <w:rPr>
          <w:rFonts w:hint="default" w:ascii="Times New Roman" w:hAnsi="Times New Roman" w:eastAsia="仿宋_GB2312" w:cs="Times New Roman"/>
          <w:color w:val="auto"/>
          <w:spacing w:val="5"/>
          <w:sz w:val="32"/>
          <w:szCs w:val="32"/>
          <w:highlight w:val="none"/>
          <w:lang w:val="en-US" w:eastAsia="zh-CN" w:bidi="ar"/>
        </w:rPr>
        <w:t>需提供相对应项目的具体申报材料。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（1）实体书店建设项目所需申报材料：</w:t>
      </w:r>
    </w:p>
    <w:tbl>
      <w:tblPr>
        <w:tblStyle w:val="7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5230"/>
        <w:gridCol w:w="2059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2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申报单位营业执照、出版物经营许可证等证照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书店设计、装修涉及的各类相关合同、费用支出明细表及相关凭证（相关合同、发票及银行往来凭证等）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（2）实体书店运营项目所需申报材料：</w:t>
      </w:r>
    </w:p>
    <w:tbl>
      <w:tblPr>
        <w:tblStyle w:val="7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5230"/>
        <w:gridCol w:w="2059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2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申报单位营业执照、出版物经营许可证等证照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实体书店物业产权证明，非自有场馆提供场馆租赁合同（至申报日仍在租赁期的合同）及租赁备案材料，以及证明书店营业面积的相关材料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9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上年度财务审计报告（申请大型实体书店运营资助项目需提供）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shd w:val="clear" w:color="auto" w:fill="FFFFFF"/>
              </w:rPr>
              <w:t>复印件（盖公章）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仿宋" w:cs="Times New Roman"/>
                <w:spacing w:val="9"/>
                <w:sz w:val="23"/>
                <w:szCs w:val="23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523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64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（3）公共书吧运营项目所需申报材料：</w:t>
      </w:r>
    </w:p>
    <w:tbl>
      <w:tblPr>
        <w:tblStyle w:val="7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5217"/>
        <w:gridCol w:w="2054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21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383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21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8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21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申报单位营业执照、出版物经营许可证等证照</w:t>
            </w: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验原件交复印件（盖公章）</w:t>
            </w:r>
          </w:p>
        </w:tc>
        <w:tc>
          <w:tcPr>
            <w:tcW w:w="1383" w:type="dxa"/>
            <w:vAlign w:val="center"/>
          </w:tcPr>
          <w:p>
            <w:pPr>
              <w:spacing w:before="0" w:line="225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21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383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21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公共书吧公益性服务考核评估合格证明文件</w:t>
            </w: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83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shd w:val="clear" w:color="auto" w:fill="FFFFFF"/>
              </w:rPr>
            </w:pPr>
            <w:r>
              <w:rPr>
                <w:rFonts w:hint="default" w:ascii="Times New Roman" w:hAnsi="Times New Roman" w:eastAsia="仿宋" w:cs="Times New Roman"/>
                <w:spacing w:val="9"/>
                <w:sz w:val="23"/>
                <w:szCs w:val="23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217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05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383" w:type="dxa"/>
            <w:vAlign w:val="center"/>
          </w:tcPr>
          <w:p>
            <w:pPr>
              <w:spacing w:before="0" w:line="223" w:lineRule="auto"/>
              <w:ind w:left="0" w:leftChars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9"/>
                <w:sz w:val="23"/>
                <w:szCs w:val="23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文化广电旅游体育局党组会议审议——社会公示——拨付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yellow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7EAF83-8868-4A2E-A335-F0635480D26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BA0450F-408B-4078-8CBD-A37CACA78EF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3" w:fontKey="{80A88719-C360-488D-852B-32596C3B50F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BDC762A8-7D59-482A-A9B7-AF2D88292817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A28623CE-CE04-498F-B2E4-7A5DE10256C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7B6E3C02"/>
    <w:rsid w:val="135D2C55"/>
    <w:rsid w:val="17F76FAA"/>
    <w:rsid w:val="1EF2141C"/>
    <w:rsid w:val="210B3286"/>
    <w:rsid w:val="27861A9E"/>
    <w:rsid w:val="2C584AF4"/>
    <w:rsid w:val="31094F86"/>
    <w:rsid w:val="3AE4249F"/>
    <w:rsid w:val="3DDF5D1A"/>
    <w:rsid w:val="3F0DD914"/>
    <w:rsid w:val="52236E4E"/>
    <w:rsid w:val="55F802F8"/>
    <w:rsid w:val="567BBFED"/>
    <w:rsid w:val="5F5FDDFE"/>
    <w:rsid w:val="61215156"/>
    <w:rsid w:val="6FE60D7D"/>
    <w:rsid w:val="6FF3A72A"/>
    <w:rsid w:val="70D6514D"/>
    <w:rsid w:val="713B6789"/>
    <w:rsid w:val="77314D9C"/>
    <w:rsid w:val="7B6E3C02"/>
    <w:rsid w:val="7DFF1987"/>
    <w:rsid w:val="7FEE3A10"/>
    <w:rsid w:val="7FEF45D4"/>
    <w:rsid w:val="7FFF6DC0"/>
    <w:rsid w:val="AFFCB4CA"/>
    <w:rsid w:val="BBBC7FA8"/>
    <w:rsid w:val="BBCF60DE"/>
    <w:rsid w:val="BBFFAFC6"/>
    <w:rsid w:val="BD830166"/>
    <w:rsid w:val="BFAF7059"/>
    <w:rsid w:val="D5BEB326"/>
    <w:rsid w:val="DDFDE6C6"/>
    <w:rsid w:val="F6F15837"/>
    <w:rsid w:val="F6F8ABFC"/>
    <w:rsid w:val="FB7B272E"/>
    <w:rsid w:val="FDF3E848"/>
    <w:rsid w:val="FF97A95E"/>
    <w:rsid w:val="FFF77E64"/>
    <w:rsid w:val="FFFB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2960</Words>
  <Characters>3109</Characters>
  <Lines>0</Lines>
  <Paragraphs>0</Paragraphs>
  <TotalTime>5</TotalTime>
  <ScaleCrop>false</ScaleCrop>
  <LinksUpToDate>false</LinksUpToDate>
  <CharactersWithSpaces>3110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2023-08-27T10:10:00Z</dcterms:created>
  <dc:creator>Synge</dc:creator>
  <cp:lastModifiedBy>如</cp:lastModifiedBy>
  <cp:lastPrinted>2023-10-21T08:23:00Z</cp:lastPrinted>
  <dcterms:modified xsi:type="dcterms:W3CDTF">2023-12-14T14:33:21Z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07DDC7A5569C481896E4F5A4F622E75E_13</vt:lpwstr>
  </property>
</Properties>
</file>