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highlight w:val="none"/>
          <w:lang w:val="en-US" w:eastAsia="zh-CN"/>
        </w:rPr>
        <w:t>示范引领龙头企业奖励项目申报指南</w:t>
      </w:r>
    </w:p>
    <w:p>
      <w:pPr>
        <w:spacing w:line="560" w:lineRule="exact"/>
        <w:jc w:val="center"/>
        <w:rPr>
          <w:rFonts w:hint="default" w:ascii="Times New Roman" w:hAnsi="Times New Roman" w:eastAsia="微软雅黑" w:cs="Times New Roman"/>
          <w:snapToGrid w:val="0"/>
          <w:color w:val="000000"/>
          <w:spacing w:val="9"/>
          <w:kern w:val="0"/>
          <w:sz w:val="43"/>
          <w:szCs w:val="43"/>
          <w:highlight w:val="none"/>
          <w:lang w:val="en-US" w:eastAsia="zh-CN"/>
        </w:rPr>
      </w:pP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22"/>
          <w:highlight w:val="none"/>
        </w:rPr>
        <w:t>设定依据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）《光明区经济发展专项资金管理办法》（深光府规〔2023〕15号）；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）《深圳市光明区关于支持文化及旅游产业发展的若干措施》（深光府规〔2021〕7号）。</w:t>
      </w: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二、支持对象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在光明区依法经营，具备独立法人资格，且从事文化或旅游产业（属统计部门发布的文化及相关产业、旅游及相关产业分类）开发、生产经营和中介活动的企业、社会团体或民办非企业等机构。</w:t>
      </w: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三、申报条件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（一）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依法依规办理登记注册手续和税务登记手续，在光明区从事经营活动，有关产业政策、操作规程、申报指南等文件规定的其他情况除外；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（二）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有规范健全的财务管理制度，依法履行统计数据申报义务；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诚实守信、遵纪守法，不存在违反失信惩戒措施基础清单相关规定的情形；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）从事文化或旅游产业（属统计部门发布的文化及相关产业、旅游及相关产业分类）开发、生产经营和中介活动的企业、社会团体或民办非企业单位等机构。</w:t>
      </w:r>
    </w:p>
    <w:p>
      <w:pPr>
        <w:numPr>
          <w:ilvl w:val="0"/>
          <w:numId w:val="0"/>
        </w:numPr>
        <w:spacing w:before="0" w:line="560" w:lineRule="exact"/>
        <w:ind w:firstLine="640" w:firstLineChars="200"/>
        <w:rPr>
          <w:rFonts w:hint="default" w:ascii="Times New Roman" w:hAnsi="Times New Roman" w:eastAsia="黑体" w:cs="Times New Roman"/>
          <w:spacing w:val="0"/>
          <w:sz w:val="32"/>
          <w:szCs w:val="2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22"/>
          <w:highlight w:val="none"/>
          <w:lang w:val="en-US" w:eastAsia="zh-CN"/>
        </w:rPr>
        <w:t>四、资助方式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 xml:space="preserve">（一）资助标准：第五条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对上年度获评为国家级、省级、市级文化出口重点基地的，分别给予100万元、50万元、30万元奖励；获评为国家级、省级、市级文化出口重点企业或重点项目的，分别给予50万元、30万元、20万元奖励。上年度获评为“深圳文化企业100强”的，给予20万元奖励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（二）资助范围：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申报单位应提供获得有关评定奖励的证明材料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jc w:val="left"/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此项目采用直接奖励方式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widowControl/>
        <w:ind w:firstLine="660"/>
        <w:jc w:val="left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五、申报材料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申报单位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需提供相对应项目的具体申报材料。</w:t>
      </w:r>
    </w:p>
    <w:p>
      <w:pPr>
        <w:rPr>
          <w:rFonts w:hint="default" w:ascii="Times New Roman" w:hAnsi="Times New Roman" w:cs="Times New Roman"/>
          <w:highlight w:val="none"/>
        </w:rPr>
      </w:pPr>
    </w:p>
    <w:tbl>
      <w:tblPr>
        <w:tblStyle w:val="21"/>
        <w:tblW w:w="5659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5375"/>
        <w:gridCol w:w="2871"/>
        <w:gridCol w:w="115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材料名称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材料形式</w:t>
            </w:r>
          </w:p>
        </w:tc>
        <w:tc>
          <w:tcPr>
            <w:tcW w:w="1157" w:type="dxa"/>
            <w:vAlign w:val="center"/>
          </w:tcPr>
          <w:p>
            <w:pPr>
              <w:spacing w:before="0" w:line="223" w:lineRule="auto"/>
              <w:ind w:left="0"/>
              <w:jc w:val="center"/>
              <w:rPr>
                <w:rFonts w:hint="default" w:ascii="Times New Roman" w:hAnsi="Times New Roman" w:eastAsia="仿宋" w:cs="Times New Roman"/>
                <w:b/>
                <w:bCs/>
                <w:spacing w:val="9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pacing w:val="9"/>
                <w:sz w:val="23"/>
                <w:szCs w:val="23"/>
                <w:highlight w:val="none"/>
              </w:rPr>
              <w:t>是否必备材料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372" w:type="dxa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光明区支持文化及旅游产业发展扶持计划申请书（登录深圳市光明区企业服务门户（网站）在线填报）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1157" w:type="dxa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申报单位营业执照等证照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（盖公章）</w:t>
            </w:r>
          </w:p>
        </w:tc>
        <w:tc>
          <w:tcPr>
            <w:tcW w:w="1157" w:type="dxa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法定代表人身份证明文件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复印件（盖公章）</w:t>
            </w:r>
          </w:p>
        </w:tc>
        <w:tc>
          <w:tcPr>
            <w:tcW w:w="1157" w:type="dxa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22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22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税务部门提供的单位上年度纳税证明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（盖公章）</w:t>
            </w:r>
          </w:p>
        </w:tc>
        <w:tc>
          <w:tcPr>
            <w:tcW w:w="1157" w:type="dxa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所获奖项资质评定证书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（盖公章）</w:t>
            </w:r>
          </w:p>
        </w:tc>
        <w:tc>
          <w:tcPr>
            <w:tcW w:w="1157" w:type="dxa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5372" w:type="dxa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企业信用信息资料（在深圳信用网打印完整版信用报告）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1157" w:type="dxa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其他说明材料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1157" w:type="dxa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  <w:t>否</w:t>
            </w:r>
          </w:p>
        </w:tc>
      </w:tr>
    </w:tbl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以上材料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法定代表人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身份证外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均验原件存复印件，复印件按A4纸型制作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双面打印，编排目录页码并装订成册，一式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份，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封面加盖公章，整本侧面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加盖骑缝章。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、受理机关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（一）受理机关：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深圳市光明区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（二）受理时间：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网络填报受理时间：2023年12月1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日-12月29日，初审结果由申报系统短信反馈初审结果信息。超过网络填报受理的截止时间，不再受理新提交申请。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书面材料受理时间：2023年12月13日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-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12月29日（工作日9:00-12:00，14:00-18:00）。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联系地址：深圳市光明区玉塘街道同仁路科润大厦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A座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16楼1617室。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）咨询电话：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1.政策咨询电话：0755-88213429，联系人：黄先生；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2.系统技术咨询电话：15889697176，联系人：郑小姐。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、决定机关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深圳市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、申报和审核程序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网上申报——网上初审——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提交书面材料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文化广电旅游体育局委托财务审计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（含现场核查）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征求有关部门意见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文化广电旅游体育局审议——社会公示——拨付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九、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其他相关事项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（一）我局没有和任何中介机构合作，也从未委托任何单位或个人代理资金申报事宜，请项目申报单位自主申报。我局将严格按照有关标准和程序受理与评审，不收取任何费用。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申报主体不存在重大违法违规行为，未被列为失信联合惩戒对象，无逾期未办理验收或验收未通过的项目。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申报企业在专项资金的申报、使用、审核、管理等过程中存在以下情形的，将按专项资金管理相关规定予以处理，并视情节轻重列入专项资金失信名录或风险提示名单，向相关财政资金管理部门予以通报：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在申报过程中弄虚作假，骗取专项资金的；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拒不执行信息报告制度的；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违反规定多头申报财政资金资助的；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其他违反专项资金管理制度的行为。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440" w:bottom="144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7BDA2F1-9374-40D1-A354-FFD10F27435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BA902746-62E9-4DE7-A4B1-2E4603EB7F7E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268AB68A-70F3-4252-B7CB-9567A1EC1ED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A36ADE76-44BB-4720-9059-68F9BAFE1B1A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5" w:fontKey="{8891635F-BB9C-4E84-B4D0-7C97A0B7BFB4}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6BBF22"/>
    <w:multiLevelType w:val="singleLevel"/>
    <w:tmpl w:val="F36BBF2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wOWIwMTg0MThlZmVkM2U2YzRhZTVlYzY4N2Y5ZGMifQ=="/>
  </w:docVars>
  <w:rsids>
    <w:rsidRoot w:val="1F7C75FF"/>
    <w:rsid w:val="00656641"/>
    <w:rsid w:val="01277748"/>
    <w:rsid w:val="02A91DA6"/>
    <w:rsid w:val="030D4AC8"/>
    <w:rsid w:val="0321400D"/>
    <w:rsid w:val="03496B61"/>
    <w:rsid w:val="05C1367C"/>
    <w:rsid w:val="064E126A"/>
    <w:rsid w:val="06506E5A"/>
    <w:rsid w:val="0CBF6838"/>
    <w:rsid w:val="14883E57"/>
    <w:rsid w:val="17F23A82"/>
    <w:rsid w:val="187410C9"/>
    <w:rsid w:val="194C4CA0"/>
    <w:rsid w:val="19CD1E14"/>
    <w:rsid w:val="1C0F3C96"/>
    <w:rsid w:val="1D185750"/>
    <w:rsid w:val="1E7C4D29"/>
    <w:rsid w:val="1EC37822"/>
    <w:rsid w:val="1F7C75FF"/>
    <w:rsid w:val="1F951D22"/>
    <w:rsid w:val="1FAB46F7"/>
    <w:rsid w:val="1FE6BF0D"/>
    <w:rsid w:val="20837D28"/>
    <w:rsid w:val="22311C64"/>
    <w:rsid w:val="22CA041E"/>
    <w:rsid w:val="237138FF"/>
    <w:rsid w:val="23B86930"/>
    <w:rsid w:val="2445710C"/>
    <w:rsid w:val="25827825"/>
    <w:rsid w:val="26852BE0"/>
    <w:rsid w:val="27155FD0"/>
    <w:rsid w:val="2A5E108E"/>
    <w:rsid w:val="2CAF6831"/>
    <w:rsid w:val="2EA77FA9"/>
    <w:rsid w:val="2FD34873"/>
    <w:rsid w:val="30501746"/>
    <w:rsid w:val="34C2713A"/>
    <w:rsid w:val="38296C79"/>
    <w:rsid w:val="3AFB7D0E"/>
    <w:rsid w:val="3B840CB4"/>
    <w:rsid w:val="3C7D481B"/>
    <w:rsid w:val="3F9E2286"/>
    <w:rsid w:val="410276BA"/>
    <w:rsid w:val="41B95348"/>
    <w:rsid w:val="44E328F5"/>
    <w:rsid w:val="457957BE"/>
    <w:rsid w:val="464E0A98"/>
    <w:rsid w:val="470B61DD"/>
    <w:rsid w:val="478979FD"/>
    <w:rsid w:val="504B1ED2"/>
    <w:rsid w:val="549459BA"/>
    <w:rsid w:val="557D7DDB"/>
    <w:rsid w:val="562341D8"/>
    <w:rsid w:val="59792AEC"/>
    <w:rsid w:val="5CAF05F7"/>
    <w:rsid w:val="5DDF06BF"/>
    <w:rsid w:val="63961BE0"/>
    <w:rsid w:val="658A2F16"/>
    <w:rsid w:val="65CC5D02"/>
    <w:rsid w:val="67BE1FEE"/>
    <w:rsid w:val="69F632C8"/>
    <w:rsid w:val="6C0A3B4F"/>
    <w:rsid w:val="6EF370DC"/>
    <w:rsid w:val="747F2966"/>
    <w:rsid w:val="75625BED"/>
    <w:rsid w:val="771C067A"/>
    <w:rsid w:val="7DA0505C"/>
    <w:rsid w:val="7F914575"/>
    <w:rsid w:val="7FD54E08"/>
    <w:rsid w:val="BDB30CCC"/>
    <w:rsid w:val="CFEF3340"/>
    <w:rsid w:val="ED5F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0"/>
    <w:pPr>
      <w:spacing w:before="50" w:beforeLines="50" w:beforeAutospacing="0" w:after="50" w:afterLines="50" w:afterAutospacing="0"/>
      <w:jc w:val="both"/>
      <w:outlineLvl w:val="0"/>
    </w:pPr>
    <w:rPr>
      <w:rFonts w:hint="eastAsia" w:ascii="宋体" w:hAnsi="宋体" w:eastAsia="黑体" w:cs="宋体"/>
      <w:bCs/>
      <w:color w:val="000000" w:themeColor="text1"/>
      <w:kern w:val="44"/>
      <w:szCs w:val="48"/>
      <w:lang w:bidi="ar"/>
      <w14:textFill>
        <w14:solidFill>
          <w14:schemeClr w14:val="tx1"/>
        </w14:solidFill>
      </w14:textFill>
    </w:rPr>
  </w:style>
  <w:style w:type="paragraph" w:styleId="4">
    <w:name w:val="heading 2"/>
    <w:basedOn w:val="1"/>
    <w:next w:val="1"/>
    <w:link w:val="19"/>
    <w:semiHidden/>
    <w:unhideWhenUsed/>
    <w:qFormat/>
    <w:uiPriority w:val="0"/>
    <w:pPr>
      <w:keepNext/>
      <w:keepLines/>
      <w:spacing w:before="50" w:beforeLines="50" w:after="50" w:afterLines="50" w:line="560" w:lineRule="exact"/>
      <w:ind w:firstLine="723" w:firstLineChars="200"/>
      <w:outlineLvl w:val="1"/>
    </w:pPr>
    <w:rPr>
      <w:rFonts w:ascii="Times New Roman" w:hAnsi="Times New Roman" w:eastAsia="楷体_GB2312" w:cstheme="majorBidi"/>
      <w:bCs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560" w:lineRule="exact"/>
      <w:outlineLvl w:val="2"/>
    </w:pPr>
    <w:rPr>
      <w:b/>
      <w:bCs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3"/>
    </w:pPr>
    <w:rPr>
      <w:rFonts w:ascii="Arial" w:hAnsi="Arial" w:eastAsia="方正仿宋_GB2312"/>
      <w:b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paragraph" w:styleId="7">
    <w:name w:val="index 8"/>
    <w:basedOn w:val="1"/>
    <w:next w:val="1"/>
    <w:qFormat/>
    <w:uiPriority w:val="0"/>
    <w:pPr>
      <w:ind w:left="1400" w:leftChars="1400"/>
    </w:pPr>
  </w:style>
  <w:style w:type="paragraph" w:styleId="8">
    <w:name w:val="Body Text"/>
    <w:basedOn w:val="1"/>
    <w:next w:val="1"/>
    <w:qFormat/>
    <w:uiPriority w:val="0"/>
    <w:pPr>
      <w:spacing w:afterLines="0" w:afterAutospacing="0"/>
    </w:pPr>
  </w:style>
  <w:style w:type="paragraph" w:styleId="9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10">
    <w:name w:val="Plain Text"/>
    <w:basedOn w:val="1"/>
    <w:next w:val="7"/>
    <w:qFormat/>
    <w:uiPriority w:val="0"/>
    <w:rPr>
      <w:rFonts w:ascii="宋体" w:hAnsi="Courier New" w:cs="Courier New"/>
      <w:szCs w:val="21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footnote text"/>
    <w:basedOn w:val="1"/>
    <w:link w:val="17"/>
    <w:qFormat/>
    <w:uiPriority w:val="0"/>
    <w:pPr>
      <w:keepNext w:val="0"/>
      <w:keepLines w:val="0"/>
      <w:widowControl w:val="0"/>
      <w:suppressLineNumbers w:val="0"/>
      <w:snapToGrid w:val="0"/>
      <w:spacing w:before="0" w:beforeAutospacing="0" w:after="0" w:afterAutospacing="0" w:line="360" w:lineRule="exact"/>
      <w:ind w:left="0" w:right="0" w:firstLine="420" w:firstLineChars="200"/>
      <w:jc w:val="left"/>
    </w:pPr>
    <w:rPr>
      <w:rFonts w:ascii="Times New Roman" w:hAnsi="Times New Roman" w:eastAsia="仿宋_GB2312" w:cs="Times New Roman"/>
      <w:sz w:val="18"/>
      <w:szCs w:val="18"/>
      <w:lang w:bidi="ar"/>
    </w:rPr>
  </w:style>
  <w:style w:type="paragraph" w:styleId="13">
    <w:name w:val="Body Text First Indent 2"/>
    <w:basedOn w:val="9"/>
    <w:qFormat/>
    <w:uiPriority w:val="0"/>
    <w:pPr>
      <w:ind w:left="0" w:leftChars="0" w:firstLine="420" w:firstLineChars="200"/>
    </w:pPr>
  </w:style>
  <w:style w:type="table" w:styleId="15">
    <w:name w:val="Table Grid"/>
    <w:basedOn w:val="1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脚注文本 字符"/>
    <w:basedOn w:val="16"/>
    <w:link w:val="12"/>
    <w:qFormat/>
    <w:uiPriority w:val="0"/>
    <w:rPr>
      <w:rFonts w:hint="default" w:ascii="Times New Roman" w:hAnsi="Times New Roman" w:eastAsia="仿宋_GB2312" w:cs="Times New Roman"/>
      <w:sz w:val="18"/>
      <w:szCs w:val="18"/>
    </w:rPr>
  </w:style>
  <w:style w:type="character" w:customStyle="1" w:styleId="18">
    <w:name w:val="标题 1 字符"/>
    <w:basedOn w:val="16"/>
    <w:link w:val="3"/>
    <w:qFormat/>
    <w:uiPriority w:val="0"/>
    <w:rPr>
      <w:rFonts w:ascii="宋体" w:hAnsi="宋体" w:eastAsia="黑体" w:cs="宋体"/>
      <w:bCs/>
      <w:color w:val="000000" w:themeColor="text1"/>
      <w:kern w:val="44"/>
      <w:sz w:val="32"/>
      <w:szCs w:val="21"/>
      <w14:textFill>
        <w14:solidFill>
          <w14:schemeClr w14:val="tx1"/>
        </w14:solidFill>
      </w14:textFill>
    </w:rPr>
  </w:style>
  <w:style w:type="character" w:customStyle="1" w:styleId="19">
    <w:name w:val="标题 2 字符"/>
    <w:basedOn w:val="16"/>
    <w:link w:val="4"/>
    <w:qFormat/>
    <w:uiPriority w:val="0"/>
    <w:rPr>
      <w:rFonts w:ascii="Times New Roman" w:hAnsi="Times New Roman" w:eastAsia="楷体_GB2312" w:cstheme="majorBidi"/>
      <w:bCs/>
      <w:sz w:val="32"/>
      <w:szCs w:val="32"/>
    </w:rPr>
  </w:style>
  <w:style w:type="character" w:customStyle="1" w:styleId="20">
    <w:name w:val="标题 3 Char"/>
    <w:link w:val="5"/>
    <w:qFormat/>
    <w:uiPriority w:val="0"/>
    <w:rPr>
      <w:rFonts w:ascii="Times New Roman" w:hAnsi="Times New Roman" w:eastAsia="仿宋_GB2312" w:cs="Times New Roman"/>
      <w:b/>
    </w:rPr>
  </w:style>
  <w:style w:type="table" w:customStyle="1" w:styleId="2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2023-08-26T02:07:00Z</dcterms:created>
  <dc:creator>李海娟</dc:creator>
  <cp:lastModifiedBy>如</cp:lastModifiedBy>
  <dcterms:modified xsi:type="dcterms:W3CDTF">2023-12-14T14:38:55Z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7F58CD78B449439283A3947799CF83F7_11</vt:lpwstr>
  </property>
</Properties>
</file>