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560" w:lineRule="exact"/>
        <w:contextualSpacing/>
        <w:jc w:val="center"/>
        <w:rPr>
          <w:rFonts w:hint="eastAsia" w:ascii="方正小标宋_GBK" w:hAnsi="宋体" w:eastAsia="方正小标宋_GBK"/>
          <w:sz w:val="44"/>
          <w:szCs w:val="44"/>
          <w:lang w:eastAsia="zh-CN"/>
        </w:rPr>
      </w:pPr>
      <w:r>
        <w:rPr>
          <w:rFonts w:hint="eastAsia" w:ascii="方正小标宋_GBK" w:hAnsi="宋体" w:eastAsia="方正小标宋_GBK"/>
          <w:sz w:val="44"/>
          <w:szCs w:val="44"/>
          <w:lang w:eastAsia="zh-CN"/>
        </w:rPr>
        <w:t>南山区促进产业高质量发展专项资金——区文化广电旅游体育局分项资金</w:t>
      </w:r>
    </w:p>
    <w:p>
      <w:pPr>
        <w:spacing w:after="0" w:line="560" w:lineRule="exact"/>
        <w:contextualSpacing/>
        <w:jc w:val="center"/>
        <w:rPr>
          <w:rFonts w:hint="eastAsia" w:ascii="方正小标宋_GBK" w:hAnsi="宋体" w:eastAsia="方正小标宋_GBK"/>
          <w:sz w:val="44"/>
          <w:szCs w:val="44"/>
          <w:lang w:eastAsia="zh-CN"/>
        </w:rPr>
      </w:pPr>
      <w:r>
        <w:rPr>
          <w:rFonts w:hint="eastAsia" w:ascii="方正小标宋_GBK" w:hAnsi="宋体" w:eastAsia="方正小标宋_GBK"/>
          <w:sz w:val="44"/>
          <w:szCs w:val="44"/>
          <w:lang w:eastAsia="zh-CN"/>
        </w:rPr>
        <w:t>支持文体产业空间创优评级项目</w:t>
      </w:r>
    </w:p>
    <w:p>
      <w:pPr>
        <w:spacing w:after="0" w:line="560" w:lineRule="exact"/>
        <w:contextualSpacing/>
        <w:jc w:val="center"/>
        <w:rPr>
          <w:rFonts w:hint="eastAsia" w:ascii="方正小标宋_GBK" w:hAnsi="宋体" w:eastAsia="方正小标宋_GBK"/>
          <w:sz w:val="44"/>
          <w:szCs w:val="44"/>
          <w:lang w:eastAsia="zh-CN"/>
        </w:rPr>
      </w:pPr>
      <w:r>
        <w:rPr>
          <w:rFonts w:hint="eastAsia" w:ascii="方正小标宋_GBK" w:hAnsi="宋体" w:eastAsia="方正小标宋_GBK"/>
          <w:sz w:val="44"/>
          <w:szCs w:val="44"/>
          <w:lang w:eastAsia="zh-CN"/>
        </w:rPr>
        <w:t>操作规程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37" w:firstLineChars="168"/>
        <w:textAlignment w:val="auto"/>
        <w:rPr>
          <w:rFonts w:eastAsia="黑体"/>
          <w:color w:val="000000"/>
          <w:sz w:val="32"/>
          <w:szCs w:val="32"/>
        </w:rPr>
      </w:pPr>
      <w:r>
        <w:rPr>
          <w:rFonts w:hint="eastAsia" w:hAnsi="黑体" w:eastAsia="黑体"/>
          <w:color w:val="000000"/>
          <w:sz w:val="32"/>
          <w:szCs w:val="32"/>
        </w:rPr>
        <w:t>一、政策内容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37" w:firstLineChars="168"/>
        <w:textAlignment w:val="auto"/>
        <w:rPr>
          <w:rFonts w:hint="eastAsia" w:hAnsi="仿宋" w:eastAsia="仿宋"/>
          <w:color w:val="auto"/>
          <w:sz w:val="32"/>
          <w:szCs w:val="32"/>
        </w:rPr>
      </w:pPr>
      <w:r>
        <w:rPr>
          <w:rFonts w:hint="eastAsia" w:hAnsi="仿宋" w:eastAsia="仿宋"/>
          <w:color w:val="auto"/>
          <w:sz w:val="32"/>
          <w:szCs w:val="32"/>
        </w:rPr>
        <w:t>对被评为国家级、省级、市级文化、体育产业（示范）园区、孵化器等的产业空间，分别给予最高不超过300万元</w:t>
      </w:r>
      <w:bookmarkStart w:id="0" w:name="_GoBack"/>
      <w:bookmarkEnd w:id="0"/>
      <w:r>
        <w:rPr>
          <w:rFonts w:hint="eastAsia" w:hAnsi="仿宋" w:eastAsia="仿宋"/>
          <w:color w:val="auto"/>
          <w:sz w:val="32"/>
          <w:szCs w:val="32"/>
        </w:rPr>
        <w:t>一次性奖励。获得升格认定的，可申请差额部分奖励。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hAnsi="黑体" w:eastAsia="黑体"/>
          <w:color w:val="000000"/>
          <w:sz w:val="32"/>
          <w:szCs w:val="32"/>
          <w:lang w:eastAsia="zh-CN"/>
        </w:rPr>
      </w:pPr>
      <w:r>
        <w:rPr>
          <w:rFonts w:hint="eastAsia" w:hAnsi="黑体" w:eastAsia="黑体"/>
          <w:color w:val="000000"/>
          <w:sz w:val="32"/>
          <w:szCs w:val="32"/>
          <w:lang w:eastAsia="zh-CN"/>
        </w:rPr>
        <w:t>二、设定依据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/>
        </w:rPr>
      </w:pPr>
      <w:r>
        <w:rPr>
          <w:rFonts w:hint="eastAsia" w:hAnsi="仿宋" w:eastAsia="仿宋"/>
          <w:color w:val="000000"/>
          <w:sz w:val="32"/>
          <w:szCs w:val="32"/>
        </w:rPr>
        <w:t>为鼓励园区</w:t>
      </w:r>
      <w:r>
        <w:rPr>
          <w:rFonts w:hint="eastAsia" w:hAnsi="仿宋" w:eastAsia="仿宋"/>
          <w:color w:val="000000"/>
          <w:sz w:val="32"/>
          <w:szCs w:val="32"/>
          <w:lang w:eastAsia="zh-CN"/>
        </w:rPr>
        <w:t>创优评级</w:t>
      </w:r>
      <w:r>
        <w:rPr>
          <w:rFonts w:hint="eastAsia" w:hAnsi="仿宋" w:eastAsia="仿宋"/>
          <w:color w:val="000000"/>
          <w:sz w:val="32"/>
          <w:szCs w:val="32"/>
        </w:rPr>
        <w:t>，提升竞争力和招商吸引力，</w:t>
      </w:r>
      <w:r>
        <w:rPr>
          <w:rFonts w:hint="eastAsia" w:hAnsi="仿宋" w:eastAsia="仿宋"/>
          <w:kern w:val="0"/>
          <w:sz w:val="32"/>
          <w:szCs w:val="32"/>
        </w:rPr>
        <w:t>根据《南山区促进产业高质量发展专项资金管理办法》和《南山区促进文化旅游体育产业发展专项扶持措施》，</w:t>
      </w:r>
      <w:r>
        <w:rPr>
          <w:rFonts w:hint="eastAsia" w:hAnsi="仿宋" w:eastAsia="仿宋"/>
          <w:color w:val="000000"/>
          <w:sz w:val="32"/>
          <w:szCs w:val="32"/>
        </w:rPr>
        <w:t>制定本操作规程。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eastAsia="黑体"/>
          <w:color w:val="000000"/>
          <w:sz w:val="32"/>
          <w:szCs w:val="32"/>
        </w:rPr>
      </w:pPr>
      <w:r>
        <w:rPr>
          <w:rFonts w:hint="eastAsia" w:hAnsi="黑体" w:eastAsia="黑体"/>
          <w:color w:val="000000"/>
          <w:sz w:val="32"/>
          <w:szCs w:val="32"/>
          <w:lang w:eastAsia="zh-CN"/>
        </w:rPr>
        <w:t>三、</w:t>
      </w:r>
      <w:r>
        <w:rPr>
          <w:rFonts w:hint="eastAsia" w:hAnsi="黑体" w:eastAsia="黑体"/>
          <w:color w:val="000000"/>
          <w:sz w:val="32"/>
          <w:szCs w:val="32"/>
        </w:rPr>
        <w:t>申请条件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</w:rPr>
        <w:t>（一）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基本条件</w:t>
      </w:r>
      <w:r>
        <w:rPr>
          <w:rFonts w:hint="eastAsia" w:ascii="仿宋" w:hAnsi="仿宋" w:eastAsia="仿宋" w:cs="Times New Roman"/>
          <w:color w:val="000000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  <w:lang w:eastAsia="zh-CN"/>
        </w:rPr>
      </w:pPr>
      <w:r>
        <w:rPr>
          <w:rFonts w:ascii="仿宋" w:hAnsi="仿宋" w:eastAsia="仿宋"/>
          <w:color w:val="000000"/>
          <w:sz w:val="32"/>
          <w:szCs w:val="32"/>
        </w:rPr>
        <w:t>1</w:t>
      </w:r>
      <w:r>
        <w:rPr>
          <w:rFonts w:hint="eastAsia" w:ascii="仿宋" w:hAnsi="仿宋" w:eastAsia="仿宋"/>
          <w:color w:val="000000"/>
          <w:sz w:val="32"/>
          <w:szCs w:val="32"/>
        </w:rPr>
        <w:t>、在南山辖区内登记注册、经营、具有独立法人资格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  <w:lang w:eastAsia="zh-CN"/>
        </w:rPr>
      </w:pPr>
      <w:r>
        <w:rPr>
          <w:rFonts w:ascii="仿宋" w:hAnsi="仿宋" w:eastAsia="仿宋"/>
          <w:color w:val="000000"/>
          <w:sz w:val="32"/>
          <w:szCs w:val="32"/>
        </w:rPr>
        <w:t>2</w:t>
      </w:r>
      <w:r>
        <w:rPr>
          <w:rFonts w:hint="eastAsia" w:ascii="仿宋" w:hAnsi="仿宋" w:eastAsia="仿宋"/>
          <w:color w:val="000000"/>
          <w:sz w:val="32"/>
          <w:szCs w:val="32"/>
        </w:rPr>
        <w:t>、守法经营、诚实守信、有规范健全的财务制度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3、</w:t>
      </w:r>
      <w:r>
        <w:rPr>
          <w:rFonts w:hint="eastAsia" w:ascii="仿宋" w:hAnsi="仿宋" w:eastAsia="仿宋" w:cs="Times New Roman"/>
          <w:color w:val="000000"/>
          <w:sz w:val="32"/>
          <w:szCs w:val="32"/>
        </w:rPr>
        <w:t>按照国家相关统计报表制度规定，正常履行统计报表义务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4、</w:t>
      </w:r>
      <w:r>
        <w:rPr>
          <w:rFonts w:hint="eastAsia" w:ascii="仿宋_GB2312" w:hAnsi="仿宋_GB2312" w:eastAsia="仿宋_GB2312"/>
          <w:sz w:val="32"/>
          <w:szCs w:val="32"/>
        </w:rPr>
        <w:t>申报主体为获评为国家级、省级、市级文化或体育产业（示范）园区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或孵化器的</w:t>
      </w:r>
      <w:r>
        <w:rPr>
          <w:rFonts w:hint="eastAsia" w:ascii="仿宋_GB2312" w:hAnsi="仿宋_GB2312" w:eastAsia="仿宋_GB2312"/>
          <w:sz w:val="32"/>
          <w:szCs w:val="32"/>
        </w:rPr>
        <w:t>运营单位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（二）有下列情况之一的，本项资金不予资助：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1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</w:rPr>
        <w:t>被依法依规纳入严重失信主体名单或失信惩戒措施清单的；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2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</w:rPr>
        <w:t>提出资助申请后，申报主体注册地或在地统计关系发生变化，不再符合申报条件的。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hAnsi="黑体" w:eastAsia="黑体" w:cs="Times New Roman"/>
          <w:color w:val="000000"/>
          <w:sz w:val="32"/>
          <w:szCs w:val="32"/>
          <w:lang w:val="en-US" w:eastAsia="zh-CN"/>
        </w:rPr>
      </w:pPr>
      <w:r>
        <w:rPr>
          <w:rFonts w:hint="eastAsia" w:hAnsi="黑体" w:eastAsia="黑体" w:cs="Times New Roman"/>
          <w:color w:val="000000"/>
          <w:sz w:val="32"/>
          <w:szCs w:val="32"/>
          <w:lang w:val="en-US" w:eastAsia="zh-CN"/>
        </w:rPr>
        <w:t>四、申报说明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（一）被评为国家级文化产业（示范）园区的，给予最高不超过300万元一次性奖励；被评为省级文化产业（示范）园区的，给予最高不超过200万元一次性奖励；被评为市级文化产业（示范）园区的，给予最高不超过100万元一次性奖励；被评为市级体育产业（示范）园区的，给予最高不超过100万元一次性奖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仿宋" w:hAnsi="仿宋" w:eastAsia="仿宋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（二）申报主体为初次获评为国家级、省级、市级文化或体育产业（示范）园区的运营单位。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（三）获得升格认定的，可申请差额部分奖励。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/>
          <w:lang w:val="en-US" w:eastAsia="zh-CN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（四）最终资助金额需大于等于1万元。</w:t>
      </w:r>
    </w:p>
    <w:p>
      <w:pPr>
        <w:spacing w:after="0" w:line="560" w:lineRule="exact"/>
        <w:ind w:firstLine="640" w:firstLineChars="200"/>
        <w:contextualSpacing/>
        <w:rPr>
          <w:rFonts w:hAnsi="黑体" w:eastAsia="黑体"/>
          <w:color w:val="000000"/>
          <w:sz w:val="32"/>
          <w:szCs w:val="32"/>
        </w:rPr>
      </w:pPr>
      <w:r>
        <w:rPr>
          <w:rFonts w:hint="eastAsia" w:hAnsi="黑体" w:eastAsia="黑体"/>
          <w:color w:val="000000"/>
          <w:sz w:val="32"/>
          <w:szCs w:val="32"/>
          <w:lang w:eastAsia="zh-CN"/>
        </w:rPr>
        <w:t>五</w:t>
      </w:r>
      <w:r>
        <w:rPr>
          <w:rFonts w:hint="eastAsia" w:hAnsi="黑体" w:eastAsia="黑体"/>
          <w:color w:val="000000"/>
          <w:sz w:val="32"/>
          <w:szCs w:val="32"/>
        </w:rPr>
        <w:t>、</w:t>
      </w:r>
      <w:r>
        <w:rPr>
          <w:rFonts w:hint="eastAsia" w:ascii="黑体" w:hAnsi="黑体" w:eastAsia="黑体"/>
          <w:bCs/>
          <w:kern w:val="2"/>
          <w:sz w:val="32"/>
          <w:szCs w:val="32"/>
          <w:lang w:eastAsia="zh-CN" w:bidi="ar-SA"/>
        </w:rPr>
        <w:t>办理流程</w:t>
      </w:r>
    </w:p>
    <w:p>
      <w:pPr>
        <w:spacing w:after="0" w:line="560" w:lineRule="exact"/>
        <w:ind w:firstLine="640" w:firstLineChars="200"/>
        <w:contextualSpacing/>
        <w:jc w:val="both"/>
        <w:rPr>
          <w:rFonts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（一）申报</w:t>
      </w:r>
      <w:r>
        <w:rPr>
          <w:rFonts w:ascii="仿宋_GB2312" w:hAnsi="ˎ̥" w:eastAsia="仿宋_GB2312" w:cs="宋体"/>
          <w:sz w:val="32"/>
          <w:szCs w:val="32"/>
          <w:lang w:eastAsia="zh-CN" w:bidi="ar-SA"/>
        </w:rPr>
        <w:t>主体</w:t>
      </w:r>
      <w:r>
        <w:rPr>
          <w:rFonts w:hint="eastAsia" w:ascii="仿宋_GB2312" w:eastAsia="仿宋_GB2312"/>
          <w:sz w:val="32"/>
          <w:szCs w:val="32"/>
          <w:lang w:eastAsia="zh-CN"/>
        </w:rPr>
        <w:t>登陆</w:t>
      </w:r>
      <w:r>
        <w:rPr>
          <w:rFonts w:ascii="仿宋_GB2312" w:eastAsia="仿宋_GB2312"/>
          <w:sz w:val="32"/>
          <w:szCs w:val="32"/>
          <w:highlight w:val="none"/>
          <w:lang w:eastAsia="zh-CN"/>
        </w:rPr>
        <w:t>“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i南山企业服务综合平台</w:t>
      </w:r>
      <w:r>
        <w:rPr>
          <w:rFonts w:ascii="仿宋_GB2312" w:eastAsia="仿宋_GB2312"/>
          <w:sz w:val="32"/>
          <w:szCs w:val="32"/>
          <w:highlight w:val="none"/>
          <w:lang w:eastAsia="zh-CN"/>
        </w:rPr>
        <w:t>”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eastAsia="仿宋_GB2312"/>
          <w:kern w:val="2"/>
          <w:sz w:val="32"/>
          <w:szCs w:val="32"/>
          <w:highlight w:val="none"/>
        </w:rPr>
        <w:t>https://www.inanshan.org.cn/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  <w:lang w:eastAsia="zh-CN"/>
        </w:rPr>
        <w:t>，网上提交项目申报材料；</w:t>
      </w:r>
    </w:p>
    <w:p>
      <w:pPr>
        <w:spacing w:after="0" w:line="560" w:lineRule="exact"/>
        <w:ind w:firstLine="640" w:firstLineChars="200"/>
        <w:contextualSpacing/>
        <w:jc w:val="both"/>
        <w:rPr>
          <w:rFonts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（二）区企业发展服务中心受理</w:t>
      </w:r>
      <w:r>
        <w:rPr>
          <w:rFonts w:hint="eastAsia" w:ascii="仿宋_GB2312" w:eastAsia="仿宋_GB2312"/>
          <w:kern w:val="2"/>
          <w:sz w:val="32"/>
          <w:szCs w:val="32"/>
          <w:lang w:eastAsia="zh-CN"/>
        </w:rPr>
        <w:t>申请，对申报材料进行形式性审核</w:t>
      </w:r>
      <w:r>
        <w:rPr>
          <w:rFonts w:hint="eastAsia" w:ascii="仿宋_GB2312" w:eastAsia="仿宋_GB2312"/>
          <w:sz w:val="32"/>
          <w:szCs w:val="32"/>
          <w:lang w:eastAsia="zh-CN"/>
        </w:rPr>
        <w:t xml:space="preserve">，区局复审项目申报材料； </w:t>
      </w:r>
    </w:p>
    <w:p>
      <w:pPr>
        <w:spacing w:after="0" w:line="560" w:lineRule="exact"/>
        <w:ind w:firstLine="640" w:firstLineChars="200"/>
        <w:contextualSpacing/>
        <w:jc w:val="both"/>
        <w:rPr>
          <w:rFonts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（三）区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文化广电旅游体育</w:t>
      </w:r>
      <w:r>
        <w:rPr>
          <w:rFonts w:hint="eastAsia" w:ascii="仿宋_GB2312" w:eastAsia="仿宋_GB2312"/>
          <w:sz w:val="32"/>
          <w:szCs w:val="32"/>
          <w:lang w:eastAsia="zh-CN"/>
        </w:rPr>
        <w:t>局拟定资助计划；</w:t>
      </w:r>
    </w:p>
    <w:p>
      <w:pPr>
        <w:spacing w:after="0" w:line="560" w:lineRule="exact"/>
        <w:ind w:firstLine="640" w:firstLineChars="200"/>
        <w:contextualSpacing/>
        <w:jc w:val="both"/>
        <w:rPr>
          <w:rFonts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（四）区统计局对申报主体在地统计开展情况进行核查，</w:t>
      </w:r>
      <w:r>
        <w:rPr>
          <w:rFonts w:ascii="仿宋_GB2312" w:eastAsia="仿宋_GB2312"/>
          <w:sz w:val="32"/>
          <w:szCs w:val="32"/>
          <w:lang w:eastAsia="zh-CN"/>
        </w:rPr>
        <w:t>区企业发展服务中心组织对申报</w:t>
      </w:r>
      <w:r>
        <w:rPr>
          <w:rFonts w:hint="eastAsia" w:ascii="仿宋_GB2312" w:eastAsia="仿宋_GB2312"/>
          <w:sz w:val="32"/>
          <w:szCs w:val="32"/>
          <w:lang w:eastAsia="zh-CN"/>
        </w:rPr>
        <w:t>主体</w:t>
      </w:r>
      <w:r>
        <w:rPr>
          <w:rFonts w:ascii="仿宋_GB2312" w:eastAsia="仿宋_GB2312"/>
          <w:sz w:val="32"/>
          <w:szCs w:val="32"/>
          <w:lang w:eastAsia="zh-CN"/>
        </w:rPr>
        <w:t>的注册情况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ascii="仿宋_GB2312" w:eastAsia="仿宋_GB2312"/>
          <w:sz w:val="32"/>
          <w:szCs w:val="32"/>
          <w:lang w:eastAsia="zh-CN"/>
        </w:rPr>
        <w:t>不良信用记录等情况进行核查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spacing w:after="0" w:line="560" w:lineRule="exact"/>
        <w:ind w:firstLine="640" w:firstLineChars="200"/>
        <w:contextualSpacing/>
        <w:jc w:val="both"/>
        <w:rPr>
          <w:rFonts w:ascii="仿宋_GB2312" w:eastAsia="仿宋_GB2312"/>
          <w:sz w:val="32"/>
          <w:szCs w:val="32"/>
          <w:lang w:eastAsia="zh-Hans"/>
        </w:rPr>
      </w:pPr>
      <w:r>
        <w:rPr>
          <w:rFonts w:hint="eastAsia" w:ascii="仿宋_GB2312" w:eastAsia="仿宋_GB2312"/>
          <w:sz w:val="32"/>
          <w:szCs w:val="32"/>
          <w:lang w:eastAsia="zh-Hans"/>
        </w:rPr>
        <w:t>（</w:t>
      </w:r>
      <w:r>
        <w:rPr>
          <w:rFonts w:hint="eastAsia" w:ascii="仿宋_GB2312" w:eastAsia="仿宋_GB2312"/>
          <w:sz w:val="32"/>
          <w:szCs w:val="32"/>
          <w:lang w:eastAsia="zh-CN"/>
        </w:rPr>
        <w:t>五</w:t>
      </w:r>
      <w:r>
        <w:rPr>
          <w:rFonts w:hint="eastAsia" w:ascii="仿宋_GB2312" w:eastAsia="仿宋_GB2312"/>
          <w:sz w:val="32"/>
          <w:szCs w:val="32"/>
          <w:lang w:eastAsia="zh-Hans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区企业</w:t>
      </w:r>
      <w:r>
        <w:rPr>
          <w:rFonts w:hint="eastAsia" w:ascii="仿宋_GB2312" w:eastAsia="仿宋_GB2312"/>
          <w:sz w:val="32"/>
          <w:szCs w:val="32"/>
          <w:lang w:eastAsia="zh-CN"/>
        </w:rPr>
        <w:t>发展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服务中心将拟资助项目向社会公示5个工作日，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对公示期满，无有效投诉的项目资助计划，</w:t>
      </w:r>
      <w:r>
        <w:rPr>
          <w:rFonts w:hint="eastAsia" w:ascii="仿宋_GB2312" w:eastAsia="仿宋_GB2312"/>
          <w:sz w:val="32"/>
          <w:szCs w:val="32"/>
          <w:lang w:eastAsia="zh-CN"/>
        </w:rPr>
        <w:t>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文化广电旅游体育</w:t>
      </w:r>
      <w:r>
        <w:rPr>
          <w:rFonts w:hint="eastAsia" w:ascii="仿宋_GB2312" w:eastAsia="仿宋_GB2312"/>
          <w:sz w:val="32"/>
          <w:szCs w:val="32"/>
          <w:lang w:eastAsia="zh-CN"/>
        </w:rPr>
        <w:t>局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再按照相应审核程序提交会议审议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spacing w:after="0" w:line="560" w:lineRule="exact"/>
        <w:ind w:firstLine="640" w:firstLineChars="200"/>
        <w:contextualSpacing/>
        <w:jc w:val="both"/>
        <w:outlineLvl w:val="1"/>
        <w:rPr>
          <w:rFonts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ascii="仿宋_GB2312" w:eastAsia="仿宋_GB2312"/>
          <w:sz w:val="32"/>
          <w:szCs w:val="32"/>
          <w:lang w:eastAsia="zh-CN"/>
        </w:rPr>
        <w:t>六</w:t>
      </w:r>
      <w:r>
        <w:rPr>
          <w:rFonts w:hint="eastAsia" w:ascii="仿宋_GB2312" w:eastAsia="仿宋_GB2312"/>
          <w:sz w:val="32"/>
          <w:szCs w:val="32"/>
          <w:lang w:eastAsia="zh-CN"/>
        </w:rPr>
        <w:t>）经审议后，由区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文化广电旅游体育</w:t>
      </w:r>
      <w:r>
        <w:rPr>
          <w:rFonts w:hint="eastAsia" w:ascii="仿宋_GB2312" w:eastAsia="仿宋_GB2312"/>
          <w:sz w:val="32"/>
          <w:szCs w:val="32"/>
          <w:lang w:eastAsia="zh-CN"/>
        </w:rPr>
        <w:t>局直接行文下达资金计划；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（七）区财政部门及时安排资金，</w:t>
      </w:r>
      <w:r>
        <w:rPr>
          <w:rFonts w:hint="eastAsia" w:ascii="仿宋_GB2312" w:eastAsia="仿宋_GB2312"/>
          <w:sz w:val="32"/>
          <w:szCs w:val="32"/>
          <w:lang w:eastAsia="zh-CN"/>
        </w:rPr>
        <w:t>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文化广电旅游体育</w:t>
      </w:r>
      <w:r>
        <w:rPr>
          <w:rFonts w:hint="eastAsia" w:ascii="仿宋_GB2312" w:eastAsia="仿宋_GB2312"/>
          <w:sz w:val="32"/>
          <w:szCs w:val="32"/>
          <w:lang w:eastAsia="zh-CN"/>
        </w:rPr>
        <w:t>局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办理资金拨付手续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hAnsi="黑体" w:eastAsia="黑体"/>
          <w:color w:val="000000"/>
          <w:sz w:val="32"/>
          <w:szCs w:val="32"/>
        </w:rPr>
      </w:pPr>
      <w:r>
        <w:rPr>
          <w:rFonts w:hint="eastAsia" w:hAnsi="黑体" w:eastAsia="黑体"/>
          <w:color w:val="000000"/>
          <w:sz w:val="32"/>
          <w:szCs w:val="32"/>
          <w:lang w:eastAsia="zh-CN"/>
        </w:rPr>
        <w:t>六</w:t>
      </w:r>
      <w:r>
        <w:rPr>
          <w:rFonts w:hint="eastAsia" w:hAnsi="黑体" w:eastAsia="黑体"/>
          <w:color w:val="000000"/>
          <w:sz w:val="32"/>
          <w:szCs w:val="32"/>
        </w:rPr>
        <w:t>、所需材料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56" w:firstLineChars="200"/>
        <w:textAlignment w:val="auto"/>
        <w:rPr>
          <w:rFonts w:hint="eastAsia" w:ascii="仿宋_GB2312" w:hAnsi="宋体" w:eastAsia="仿宋_GB2312" w:cs="宋体"/>
          <w:spacing w:val="4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  <w:t>登录“i南山企业服务综合平台”（https://www.inanshan.org.cn/）在线填写《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lang w:eastAsia="zh-CN"/>
        </w:rPr>
        <w:t>支持文体产业空间创优评级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  <w:t>》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lang w:eastAsia="zh-CN"/>
        </w:rPr>
        <w:t>申请书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  <w:t>。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lang w:val="en-US" w:eastAsia="zh-CN"/>
        </w:rPr>
        <w:t>(注：申请书编号以最终提交申请书生成为准，附件清单材料为佐证材料。)</w:t>
      </w:r>
    </w:p>
    <w:p>
      <w:pPr>
        <w:adjustRightInd w:val="0"/>
        <w:snapToGrid w:val="0"/>
        <w:spacing w:line="560" w:lineRule="exact"/>
        <w:ind w:firstLine="656" w:firstLineChars="200"/>
        <w:rPr>
          <w:rFonts w:hint="eastAsia" w:ascii="仿宋_GB2312" w:hAnsi="宋体" w:eastAsia="仿宋_GB2312" w:cs="宋体"/>
          <w:spacing w:val="4"/>
          <w:kern w:val="0"/>
          <w:sz w:val="32"/>
          <w:szCs w:val="32"/>
          <w:lang w:val="en-US" w:eastAsia="zh-CN"/>
        </w:rPr>
      </w:pPr>
    </w:p>
    <w:tbl>
      <w:tblPr>
        <w:tblStyle w:val="9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6"/>
        <w:gridCol w:w="4187"/>
        <w:gridCol w:w="1804"/>
        <w:gridCol w:w="16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8" w:type="pct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bCs/>
                <w:sz w:val="24"/>
              </w:rPr>
            </w:pPr>
            <w:r>
              <w:rPr>
                <w:rFonts w:hint="eastAsia" w:ascii="楷体" w:hAnsi="楷体" w:eastAsia="楷体"/>
                <w:b/>
                <w:bCs/>
                <w:sz w:val="24"/>
              </w:rPr>
              <w:t>序号</w:t>
            </w:r>
          </w:p>
        </w:tc>
        <w:tc>
          <w:tcPr>
            <w:tcW w:w="2456" w:type="pct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bCs/>
                <w:sz w:val="24"/>
              </w:rPr>
            </w:pPr>
            <w:r>
              <w:rPr>
                <w:rFonts w:hint="eastAsia" w:ascii="楷体" w:hAnsi="楷体" w:eastAsia="楷体"/>
                <w:b/>
                <w:bCs/>
                <w:sz w:val="24"/>
              </w:rPr>
              <w:t>附件名称</w:t>
            </w:r>
          </w:p>
        </w:tc>
        <w:tc>
          <w:tcPr>
            <w:tcW w:w="1058" w:type="pct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bCs/>
                <w:sz w:val="24"/>
              </w:rPr>
            </w:pPr>
            <w:r>
              <w:rPr>
                <w:rFonts w:hint="eastAsia" w:ascii="楷体" w:hAnsi="楷体" w:eastAsia="楷体"/>
                <w:b/>
                <w:bCs/>
                <w:sz w:val="24"/>
              </w:rPr>
              <w:t>是否必备材料</w:t>
            </w:r>
          </w:p>
        </w:tc>
        <w:tc>
          <w:tcPr>
            <w:tcW w:w="975" w:type="pct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bCs/>
                <w:sz w:val="24"/>
              </w:rPr>
            </w:pPr>
            <w:r>
              <w:rPr>
                <w:rFonts w:hint="eastAsia" w:ascii="楷体" w:hAnsi="楷体" w:eastAsia="楷体"/>
                <w:b/>
                <w:bCs/>
                <w:sz w:val="24"/>
              </w:rPr>
              <w:t>网上提交资料要求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8" w:type="pc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1</w:t>
            </w:r>
          </w:p>
        </w:tc>
        <w:tc>
          <w:tcPr>
            <w:tcW w:w="2456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新版</w:t>
            </w:r>
            <w:r>
              <w:rPr>
                <w:rFonts w:ascii="楷体" w:hAnsi="楷体" w:eastAsia="楷体"/>
                <w:sz w:val="24"/>
              </w:rPr>
              <w:t>“</w:t>
            </w:r>
            <w:r>
              <w:rPr>
                <w:rFonts w:hint="eastAsia" w:ascii="楷体" w:hAnsi="楷体" w:eastAsia="楷体"/>
                <w:sz w:val="24"/>
              </w:rPr>
              <w:t>三证合一</w:t>
            </w:r>
            <w:r>
              <w:rPr>
                <w:rFonts w:ascii="楷体" w:hAnsi="楷体" w:eastAsia="楷体"/>
                <w:sz w:val="24"/>
              </w:rPr>
              <w:t>”</w:t>
            </w:r>
            <w:r>
              <w:rPr>
                <w:rFonts w:hint="eastAsia" w:ascii="楷体" w:hAnsi="楷体" w:eastAsia="楷体"/>
                <w:sz w:val="24"/>
              </w:rPr>
              <w:t>营业执照（事业单位提交新版“三证合一”法人证书）</w:t>
            </w:r>
          </w:p>
        </w:tc>
        <w:tc>
          <w:tcPr>
            <w:tcW w:w="1058" w:type="pc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是</w:t>
            </w:r>
          </w:p>
        </w:tc>
        <w:tc>
          <w:tcPr>
            <w:tcW w:w="975" w:type="pct"/>
            <w:vMerge w:val="restar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原件彩色扫描；P</w:t>
            </w:r>
            <w:r>
              <w:rPr>
                <w:rFonts w:ascii="楷体" w:hAnsi="楷体" w:eastAsia="楷体"/>
                <w:sz w:val="24"/>
              </w:rPr>
              <w:t>DF</w:t>
            </w:r>
            <w:r>
              <w:rPr>
                <w:rFonts w:hint="eastAsia" w:ascii="楷体" w:hAnsi="楷体" w:eastAsia="楷体"/>
                <w:sz w:val="24"/>
              </w:rPr>
              <w:t>格式上传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8" w:type="pc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2</w:t>
            </w:r>
          </w:p>
        </w:tc>
        <w:tc>
          <w:tcPr>
            <w:tcW w:w="2456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法定代表人身份证</w:t>
            </w:r>
          </w:p>
        </w:tc>
        <w:tc>
          <w:tcPr>
            <w:tcW w:w="1058" w:type="pc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是</w:t>
            </w:r>
          </w:p>
        </w:tc>
        <w:tc>
          <w:tcPr>
            <w:tcW w:w="975" w:type="pct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</w:trPr>
        <w:tc>
          <w:tcPr>
            <w:tcW w:w="508" w:type="pc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3</w:t>
            </w:r>
          </w:p>
        </w:tc>
        <w:tc>
          <w:tcPr>
            <w:tcW w:w="2456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税务部门提供的单位上一年度的纳税证明</w:t>
            </w:r>
          </w:p>
        </w:tc>
        <w:tc>
          <w:tcPr>
            <w:tcW w:w="1058" w:type="pc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是</w:t>
            </w:r>
          </w:p>
        </w:tc>
        <w:tc>
          <w:tcPr>
            <w:tcW w:w="975" w:type="pct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8" w:type="pc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4</w:t>
            </w:r>
          </w:p>
        </w:tc>
        <w:tc>
          <w:tcPr>
            <w:tcW w:w="2456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获评国家级、省级、市级产业园区证书或文件</w:t>
            </w:r>
          </w:p>
        </w:tc>
        <w:tc>
          <w:tcPr>
            <w:tcW w:w="1058" w:type="pc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是</w:t>
            </w:r>
          </w:p>
        </w:tc>
        <w:tc>
          <w:tcPr>
            <w:tcW w:w="975" w:type="pct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8" w:type="pc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5</w:t>
            </w:r>
          </w:p>
        </w:tc>
        <w:tc>
          <w:tcPr>
            <w:tcW w:w="2456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其他证明材料（如有）</w:t>
            </w:r>
          </w:p>
        </w:tc>
        <w:tc>
          <w:tcPr>
            <w:tcW w:w="1058" w:type="pc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否</w:t>
            </w:r>
          </w:p>
        </w:tc>
        <w:tc>
          <w:tcPr>
            <w:tcW w:w="975" w:type="pct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</w:tc>
      </w:tr>
    </w:tbl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5"/>
        <w:jc w:val="both"/>
        <w:textAlignment w:val="auto"/>
        <w:rPr>
          <w:rFonts w:ascii="Times New Roman" w:hAnsi="Times New Roman" w:eastAsia="黑体" w:cs="Times New Roman"/>
          <w:color w:val="000000"/>
          <w:kern w:val="2"/>
          <w:sz w:val="32"/>
          <w:szCs w:val="32"/>
        </w:rPr>
      </w:pPr>
      <w:r>
        <w:rPr>
          <w:rFonts w:hint="eastAsia" w:ascii="Times New Roman" w:hAnsi="黑体" w:eastAsia="黑体" w:cs="Times New Roman"/>
          <w:color w:val="000000"/>
          <w:kern w:val="2"/>
          <w:sz w:val="32"/>
          <w:szCs w:val="32"/>
          <w:lang w:eastAsia="zh-CN"/>
        </w:rPr>
        <w:t>七</w:t>
      </w:r>
      <w:r>
        <w:rPr>
          <w:rFonts w:hint="eastAsia" w:ascii="Times New Roman" w:hAnsi="黑体" w:eastAsia="黑体" w:cs="Times New Roman"/>
          <w:color w:val="000000"/>
          <w:kern w:val="2"/>
          <w:sz w:val="32"/>
          <w:szCs w:val="32"/>
        </w:rPr>
        <w:t>、其他事项</w:t>
      </w:r>
    </w:p>
    <w:p>
      <w:pPr>
        <w:spacing w:after="0" w:line="560" w:lineRule="exact"/>
        <w:ind w:firstLine="640" w:firstLineChars="200"/>
        <w:contextualSpacing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申请本项目资助的企业应保证其申报材料的完整性、真实性、准确性及合法性，并承担所提交的项目申报材料的相关法律责任，如有虚假或侵权等行为，该项目申请无效，如事后发现存在以上行为，本资金主管部门将保留依法追究其法律责任的权利。</w:t>
      </w: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ascii="Times New Roman" w:hAnsi="Times New Roman" w:eastAsia="黑体" w:cs="Times New Roman"/>
          <w:color w:val="000000"/>
          <w:kern w:val="2"/>
          <w:sz w:val="32"/>
          <w:szCs w:val="32"/>
        </w:rPr>
      </w:pPr>
      <w:r>
        <w:rPr>
          <w:rFonts w:hint="eastAsia" w:ascii="Times New Roman" w:hAnsi="黑体" w:eastAsia="黑体" w:cs="Times New Roman"/>
          <w:color w:val="000000"/>
          <w:kern w:val="2"/>
          <w:sz w:val="32"/>
          <w:szCs w:val="32"/>
          <w:lang w:eastAsia="zh-CN"/>
        </w:rPr>
        <w:t>八</w:t>
      </w:r>
      <w:r>
        <w:rPr>
          <w:rFonts w:hint="eastAsia" w:ascii="Times New Roman" w:hAnsi="黑体" w:eastAsia="黑体" w:cs="Times New Roman"/>
          <w:color w:val="000000"/>
          <w:kern w:val="2"/>
          <w:sz w:val="32"/>
          <w:szCs w:val="32"/>
        </w:rPr>
        <w:t>、附则</w:t>
      </w:r>
    </w:p>
    <w:p>
      <w:pPr>
        <w:spacing w:after="0" w:line="560" w:lineRule="exact"/>
        <w:ind w:firstLine="640" w:firstLineChars="200"/>
        <w:contextualSpacing/>
        <w:rPr>
          <w:rFonts w:hint="eastAsia" w:ascii="仿宋_GB2312" w:hAnsi="宋体" w:eastAsia="仿宋_GB2312" w:cs="宋体"/>
          <w:spacing w:val="4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本项目责任部门为区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文化广电旅游体育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局，本操作规程由其负责解释，自发布之日起施行。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CC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libri Light">
    <w:altName w:val="DejaVu Sans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楷体_GB2312">
    <w:altName w:val="方正楷体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Cambria">
    <w:altName w:val="FreeSerif"/>
    <w:panose1 w:val="02040503050406030204"/>
    <w:charset w:val="00"/>
    <w:family w:val="roman"/>
    <w:pitch w:val="default"/>
    <w:sig w:usb0="00000000" w:usb1="00000000" w:usb2="00000000" w:usb3="00000000" w:csb0="2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ˎ̥">
    <w:altName w:val="华文仿宋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楷体">
    <w:altName w:val="方正楷体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NkOTVjMjVlZTU3MjBlMDIzM2FkMDQ2NDA5MWMzMGEifQ=="/>
  </w:docVars>
  <w:rsids>
    <w:rsidRoot w:val="1E9B000F"/>
    <w:rsid w:val="012260CD"/>
    <w:rsid w:val="01597B04"/>
    <w:rsid w:val="095C7285"/>
    <w:rsid w:val="104D08F5"/>
    <w:rsid w:val="10B3173B"/>
    <w:rsid w:val="11DB182B"/>
    <w:rsid w:val="168B0344"/>
    <w:rsid w:val="1D077978"/>
    <w:rsid w:val="1E395720"/>
    <w:rsid w:val="1E9B000F"/>
    <w:rsid w:val="225D1033"/>
    <w:rsid w:val="2F1C0EC7"/>
    <w:rsid w:val="326A6587"/>
    <w:rsid w:val="32880B83"/>
    <w:rsid w:val="357127D2"/>
    <w:rsid w:val="365F39E8"/>
    <w:rsid w:val="42D91274"/>
    <w:rsid w:val="431D4C7D"/>
    <w:rsid w:val="432C2634"/>
    <w:rsid w:val="43956B82"/>
    <w:rsid w:val="4ABE73ED"/>
    <w:rsid w:val="53634C01"/>
    <w:rsid w:val="56A43785"/>
    <w:rsid w:val="56E66790"/>
    <w:rsid w:val="5D6B6A15"/>
    <w:rsid w:val="5DAC49EF"/>
    <w:rsid w:val="5F8C3268"/>
    <w:rsid w:val="62A72E7A"/>
    <w:rsid w:val="6D3414FD"/>
    <w:rsid w:val="6F7C5A44"/>
    <w:rsid w:val="70257FF6"/>
    <w:rsid w:val="70A92DF5"/>
    <w:rsid w:val="72663F84"/>
    <w:rsid w:val="77DE43BE"/>
    <w:rsid w:val="7A5A15E5"/>
    <w:rsid w:val="7D9C7CC2"/>
    <w:rsid w:val="7EEFB843"/>
    <w:rsid w:val="7F775B56"/>
    <w:rsid w:val="D7FBEF71"/>
    <w:rsid w:val="FB067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jc w:val="center"/>
      <w:outlineLvl w:val="0"/>
    </w:pPr>
    <w:rPr>
      <w:rFonts w:eastAsia="黑体"/>
      <w:bCs/>
      <w:kern w:val="44"/>
      <w:szCs w:val="44"/>
    </w:rPr>
  </w:style>
  <w:style w:type="paragraph" w:styleId="4">
    <w:name w:val="heading 2"/>
    <w:basedOn w:val="1"/>
    <w:next w:val="1"/>
    <w:unhideWhenUsed/>
    <w:qFormat/>
    <w:uiPriority w:val="0"/>
    <w:pPr>
      <w:keepNext/>
      <w:keepLines/>
      <w:ind w:firstLine="200" w:firstLineChars="200"/>
      <w:outlineLvl w:val="1"/>
    </w:pPr>
    <w:rPr>
      <w:rFonts w:eastAsia="楷体_GB2312" w:asciiTheme="majorHAnsi" w:hAnsiTheme="majorHAnsi" w:cstheme="majorBidi"/>
      <w:b/>
      <w:bCs/>
      <w:szCs w:val="32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Heading4"/>
    <w:basedOn w:val="1"/>
    <w:next w:val="1"/>
    <w:qFormat/>
    <w:uiPriority w:val="0"/>
    <w:pPr>
      <w:keepNext/>
      <w:keepLines/>
      <w:spacing w:before="280" w:after="290" w:line="376" w:lineRule="auto"/>
      <w:textAlignment w:val="baseline"/>
    </w:pPr>
    <w:rPr>
      <w:rFonts w:ascii="Cambria" w:hAnsi="Cambria" w:eastAsia="宋体" w:cs="Times New Roman"/>
      <w:b/>
      <w:bCs/>
      <w:sz w:val="28"/>
      <w:szCs w:val="28"/>
    </w:rPr>
  </w:style>
  <w:style w:type="paragraph" w:styleId="5">
    <w:name w:val="Body Text Indent"/>
    <w:basedOn w:val="1"/>
    <w:qFormat/>
    <w:uiPriority w:val="0"/>
    <w:pPr>
      <w:adjustRightInd w:val="0"/>
      <w:snapToGrid w:val="0"/>
      <w:spacing w:line="300" w:lineRule="auto"/>
      <w:ind w:firstLine="720" w:firstLineChars="225"/>
    </w:pPr>
    <w:rPr>
      <w:rFonts w:ascii="仿宋_GB2312" w:eastAsia="仿宋_GB2312"/>
      <w:color w:val="000000"/>
      <w:sz w:val="32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9">
    <w:name w:val="Table Grid"/>
    <w:basedOn w:val="8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font51"/>
    <w:basedOn w:val="10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1502</Words>
  <Characters>1575</Characters>
  <Lines>0</Lines>
  <Paragraphs>0</Paragraphs>
  <TotalTime>1</TotalTime>
  <ScaleCrop>false</ScaleCrop>
  <LinksUpToDate>false</LinksUpToDate>
  <CharactersWithSpaces>1576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2021-04-24T09:41:00Z</dcterms:created>
  <dc:creator>王榕</dc:creator>
  <cp:lastModifiedBy>杨璐源</cp:lastModifiedBy>
  <cp:lastPrinted>2021-06-05T03:15:00Z</cp:lastPrinted>
  <dcterms:modified xsi:type="dcterms:W3CDTF">2023-11-15T11:12:28Z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E00E70EC5BDB46E580E1CC7D8968503D</vt:lpwstr>
  </property>
</Properties>
</file>