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宋体" w:hAnsi="宋体" w:eastAsia="宋体" w:cs="宋体"/>
          <w:color w:val="000000"/>
          <w:kern w:val="1"/>
          <w:sz w:val="44"/>
          <w:szCs w:val="44"/>
          <w:highlight w:val="none"/>
          <w:lang w:eastAsia="zh-CN"/>
        </w:rPr>
      </w:pPr>
      <w:bookmarkStart w:id="1" w:name="_GoBack"/>
      <w:bookmarkEnd w:id="1"/>
      <w:r>
        <w:rPr>
          <w:rFonts w:hint="eastAsia" w:ascii="宋体" w:hAnsi="宋体" w:eastAsia="宋体" w:cs="宋体"/>
          <w:color w:val="000000"/>
          <w:spacing w:val="-20"/>
          <w:kern w:val="44"/>
          <w:sz w:val="44"/>
          <w:szCs w:val="44"/>
          <w:highlight w:val="none"/>
        </w:rPr>
        <w:t>宝安区20</w:t>
      </w:r>
      <w:r>
        <w:rPr>
          <w:rFonts w:ascii="宋体" w:hAnsi="宋体" w:eastAsia="宋体" w:cs="宋体"/>
          <w:color w:val="000000"/>
          <w:spacing w:val="-20"/>
          <w:kern w:val="44"/>
          <w:sz w:val="44"/>
          <w:szCs w:val="44"/>
          <w:highlight w:val="none"/>
          <w:lang w:val="en"/>
        </w:rPr>
        <w:t>2</w:t>
      </w:r>
      <w:r>
        <w:rPr>
          <w:rFonts w:hint="eastAsia" w:ascii="宋体" w:hAnsi="宋体" w:eastAsia="宋体" w:cs="宋体"/>
          <w:color w:val="000000"/>
          <w:spacing w:val="-20"/>
          <w:kern w:val="44"/>
          <w:sz w:val="44"/>
          <w:szCs w:val="44"/>
          <w:highlight w:val="none"/>
          <w:lang w:val="en-US" w:eastAsia="zh-CN"/>
        </w:rPr>
        <w:t>4</w:t>
      </w:r>
      <w:r>
        <w:rPr>
          <w:rFonts w:hint="eastAsia" w:ascii="宋体" w:hAnsi="宋体" w:eastAsia="宋体" w:cs="宋体"/>
          <w:color w:val="000000"/>
          <w:spacing w:val="-20"/>
          <w:kern w:val="44"/>
          <w:sz w:val="44"/>
          <w:szCs w:val="44"/>
          <w:highlight w:val="none"/>
        </w:rPr>
        <w:t>年产业人才类</w:t>
      </w:r>
      <w:r>
        <w:rPr>
          <w:rFonts w:ascii="宋体" w:hAnsi="宋体" w:eastAsia="宋体" w:cs="宋体"/>
          <w:color w:val="000000"/>
          <w:kern w:val="1"/>
          <w:sz w:val="44"/>
          <w:szCs w:val="44"/>
          <w:highlight w:val="none"/>
        </w:rPr>
        <w:t>培训项目及补贴标准</w:t>
      </w:r>
    </w:p>
    <w:tbl>
      <w:tblPr>
        <w:tblStyle w:val="10"/>
        <w:tblpPr w:leftFromText="180" w:rightFromText="180" w:vertAnchor="text" w:tblpXSpec="center" w:tblpY="1"/>
        <w:tblOverlap w:val="never"/>
        <w:tblW w:w="11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329"/>
        <w:gridCol w:w="1177"/>
        <w:gridCol w:w="1065"/>
        <w:gridCol w:w="1138"/>
        <w:gridCol w:w="4962"/>
        <w:gridCol w:w="537"/>
        <w:gridCol w:w="1380"/>
        <w:gridCol w:w="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25" w:hRule="atLeast"/>
          <w:jc w:val="center"/>
        </w:trPr>
        <w:tc>
          <w:tcPr>
            <w:tcW w:w="329" w:type="dxa"/>
            <w:noWrap w:val="0"/>
            <w:vAlign w:val="center"/>
          </w:tcPr>
          <w:p>
            <w:pPr>
              <w:spacing w:line="200" w:lineRule="atLeast"/>
              <w:jc w:val="center"/>
              <w:rPr>
                <w:rFonts w:ascii="仿宋_GB2312" w:hAnsi="仿宋" w:cs="仿宋"/>
                <w:b/>
                <w:sz w:val="20"/>
                <w:szCs w:val="20"/>
                <w:highlight w:val="none"/>
              </w:rPr>
            </w:pPr>
            <w:bookmarkStart w:id="0" w:name="OLE_LINK6"/>
            <w:bookmarkEnd w:id="0"/>
            <w:r>
              <w:rPr>
                <w:rFonts w:hint="eastAsia" w:ascii="仿宋_GB2312" w:hAnsi="仿宋" w:cs="仿宋"/>
                <w:b/>
                <w:sz w:val="20"/>
                <w:szCs w:val="20"/>
                <w:highlight w:val="none"/>
              </w:rPr>
              <w:t>序号</w:t>
            </w:r>
          </w:p>
        </w:tc>
        <w:tc>
          <w:tcPr>
            <w:tcW w:w="2242" w:type="dxa"/>
            <w:gridSpan w:val="2"/>
            <w:noWrap w:val="0"/>
            <w:vAlign w:val="center"/>
          </w:tcPr>
          <w:p>
            <w:pPr>
              <w:spacing w:line="200" w:lineRule="atLeast"/>
              <w:jc w:val="center"/>
              <w:rPr>
                <w:rFonts w:ascii="仿宋_GB2312" w:hAnsi="宋体" w:cs="宋体"/>
                <w:b/>
                <w:sz w:val="24"/>
                <w:szCs w:val="24"/>
                <w:highlight w:val="none"/>
              </w:rPr>
            </w:pPr>
            <w:r>
              <w:rPr>
                <w:rFonts w:hint="eastAsia" w:ascii="仿宋_GB2312" w:hAnsi="宋体" w:cs="宋体"/>
                <w:b/>
                <w:sz w:val="24"/>
                <w:szCs w:val="24"/>
                <w:highlight w:val="none"/>
              </w:rPr>
              <w:t>培训项目</w:t>
            </w:r>
          </w:p>
        </w:tc>
        <w:tc>
          <w:tcPr>
            <w:tcW w:w="1138" w:type="dxa"/>
            <w:noWrap w:val="0"/>
            <w:vAlign w:val="center"/>
          </w:tcPr>
          <w:p>
            <w:pPr>
              <w:spacing w:line="200" w:lineRule="atLeast"/>
              <w:jc w:val="center"/>
              <w:rPr>
                <w:rFonts w:ascii="仿宋_GB2312" w:hAnsi="仿宋" w:cs="仿宋"/>
                <w:b/>
                <w:sz w:val="24"/>
                <w:szCs w:val="24"/>
                <w:highlight w:val="none"/>
              </w:rPr>
            </w:pPr>
            <w:r>
              <w:rPr>
                <w:rFonts w:hint="eastAsia" w:ascii="仿宋_GB2312" w:hAnsi="仿宋" w:cs="仿宋"/>
                <w:b/>
                <w:sz w:val="24"/>
                <w:szCs w:val="24"/>
                <w:highlight w:val="none"/>
              </w:rPr>
              <w:t>培训学时</w:t>
            </w:r>
          </w:p>
        </w:tc>
        <w:tc>
          <w:tcPr>
            <w:tcW w:w="4962" w:type="dxa"/>
            <w:noWrap w:val="0"/>
            <w:vAlign w:val="center"/>
          </w:tcPr>
          <w:p>
            <w:pPr>
              <w:spacing w:line="200" w:lineRule="atLeast"/>
              <w:jc w:val="center"/>
              <w:rPr>
                <w:rFonts w:ascii="仿宋_GB2312" w:hAnsi="宋体" w:cs="宋体"/>
                <w:b/>
                <w:sz w:val="24"/>
                <w:szCs w:val="24"/>
                <w:highlight w:val="none"/>
              </w:rPr>
            </w:pPr>
            <w:r>
              <w:rPr>
                <w:rFonts w:hint="eastAsia" w:ascii="仿宋_GB2312" w:hAnsi="宋体" w:cs="宋体"/>
                <w:b/>
                <w:sz w:val="24"/>
                <w:szCs w:val="24"/>
                <w:highlight w:val="none"/>
              </w:rPr>
              <w:t>主要培训内容</w:t>
            </w:r>
          </w:p>
        </w:tc>
        <w:tc>
          <w:tcPr>
            <w:tcW w:w="537" w:type="dxa"/>
            <w:noWrap w:val="0"/>
            <w:vAlign w:val="center"/>
          </w:tcPr>
          <w:p>
            <w:pPr>
              <w:spacing w:line="200" w:lineRule="atLeast"/>
              <w:jc w:val="center"/>
              <w:rPr>
                <w:rFonts w:ascii="仿宋_GB2312" w:hAnsi="仿宋" w:cs="仿宋"/>
                <w:b/>
                <w:sz w:val="21"/>
                <w:szCs w:val="21"/>
                <w:highlight w:val="none"/>
              </w:rPr>
            </w:pPr>
            <w:r>
              <w:rPr>
                <w:rFonts w:hint="eastAsia" w:ascii="仿宋_GB2312" w:hAnsi="仿宋" w:cs="仿宋"/>
                <w:b/>
                <w:sz w:val="21"/>
                <w:szCs w:val="21"/>
                <w:highlight w:val="none"/>
              </w:rPr>
              <w:t>补贴标准</w:t>
            </w:r>
            <w:r>
              <w:rPr>
                <w:rFonts w:hint="eastAsia" w:ascii="仿宋_GB2312" w:hAnsi="仿宋" w:cs="仿宋"/>
                <w:b/>
                <w:sz w:val="15"/>
                <w:szCs w:val="15"/>
                <w:highlight w:val="none"/>
              </w:rPr>
              <w:t>（元/人）</w:t>
            </w:r>
          </w:p>
        </w:tc>
        <w:tc>
          <w:tcPr>
            <w:tcW w:w="1380" w:type="dxa"/>
            <w:noWrap w:val="0"/>
            <w:vAlign w:val="center"/>
          </w:tcPr>
          <w:p>
            <w:pPr>
              <w:spacing w:line="200" w:lineRule="atLeast"/>
              <w:jc w:val="center"/>
              <w:rPr>
                <w:rFonts w:ascii="仿宋_GB2312" w:hAnsi="宋体" w:cs="宋体"/>
                <w:b/>
                <w:sz w:val="24"/>
                <w:szCs w:val="24"/>
                <w:highlight w:val="none"/>
              </w:rPr>
            </w:pPr>
            <w:r>
              <w:rPr>
                <w:rFonts w:hint="eastAsia" w:ascii="仿宋_GB2312" w:hAnsi="宋体" w:cs="宋体"/>
                <w:b/>
                <w:sz w:val="24"/>
                <w:szCs w:val="24"/>
                <w:highlight w:val="none"/>
              </w:rPr>
              <w:t>建议教材</w:t>
            </w:r>
          </w:p>
        </w:tc>
        <w:tc>
          <w:tcPr>
            <w:tcW w:w="523" w:type="dxa"/>
            <w:noWrap w:val="0"/>
            <w:vAlign w:val="center"/>
          </w:tcPr>
          <w:p>
            <w:pPr>
              <w:spacing w:line="200" w:lineRule="atLeast"/>
              <w:jc w:val="center"/>
              <w:rPr>
                <w:rFonts w:ascii="仿宋_GB2312" w:hAnsi="宋体" w:cs="宋体"/>
                <w:b/>
                <w:sz w:val="24"/>
                <w:szCs w:val="24"/>
                <w:highlight w:val="none"/>
              </w:rPr>
            </w:pPr>
            <w:r>
              <w:rPr>
                <w:rFonts w:hint="eastAsia" w:ascii="仿宋_GB2312" w:hAnsi="宋体" w:cs="宋体"/>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12" w:hRule="exact"/>
          <w:jc w:val="center"/>
        </w:trPr>
        <w:tc>
          <w:tcPr>
            <w:tcW w:w="10588" w:type="dxa"/>
            <w:gridSpan w:val="7"/>
            <w:noWrap w:val="0"/>
            <w:vAlign w:val="center"/>
          </w:tcPr>
          <w:p>
            <w:pPr>
              <w:spacing w:line="200" w:lineRule="atLeast"/>
              <w:jc w:val="center"/>
              <w:rPr>
                <w:rFonts w:ascii="仿宋_GB2312" w:hAnsi="仿宋" w:cs="仿宋"/>
                <w:b/>
                <w:sz w:val="21"/>
                <w:szCs w:val="21"/>
                <w:highlight w:val="none"/>
              </w:rPr>
            </w:pPr>
            <w:r>
              <w:rPr>
                <w:rFonts w:hint="eastAsia" w:ascii="仿宋_GB2312" w:hAnsi="仿宋" w:cs="仿宋"/>
                <w:b/>
                <w:sz w:val="21"/>
                <w:szCs w:val="21"/>
                <w:highlight w:val="none"/>
              </w:rPr>
              <w:t>一、职业技能培训类</w:t>
            </w:r>
          </w:p>
        </w:tc>
        <w:tc>
          <w:tcPr>
            <w:tcW w:w="523" w:type="dxa"/>
            <w:noWrap w:val="0"/>
            <w:vAlign w:val="center"/>
          </w:tcPr>
          <w:p>
            <w:pPr>
              <w:spacing w:line="200" w:lineRule="atLeast"/>
              <w:jc w:val="center"/>
              <w:rPr>
                <w:rFonts w:ascii="仿宋_GB2312" w:hAnsi="仿宋" w:cs="仿宋"/>
                <w:b/>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59"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1</w:t>
            </w:r>
          </w:p>
        </w:tc>
        <w:tc>
          <w:tcPr>
            <w:tcW w:w="1177"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智能终端和</w:t>
            </w:r>
          </w:p>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智能制造</w:t>
            </w:r>
          </w:p>
        </w:tc>
        <w:tc>
          <w:tcPr>
            <w:tcW w:w="1065" w:type="dxa"/>
            <w:noWrap w:val="0"/>
            <w:vAlign w:val="center"/>
          </w:tcPr>
          <w:p>
            <w:pPr>
              <w:jc w:val="center"/>
              <w:rPr>
                <w:rFonts w:hint="eastAsia" w:ascii="CESI仿宋-GB2312" w:hAnsi="CESI仿宋-GB2312" w:eastAsia="CESI仿宋-GB2312" w:cs="CESI仿宋-GB2312"/>
                <w:b/>
                <w:bCs/>
                <w:color w:val="0070C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汽车智能数字座舱技术及方案设计</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智能数字座舱趋势和技术简介</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智能座舱开发环境</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IPC机制及在数字座舱多域系统中的应用</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一体化车载音频系统设计</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智能座舱显示方案</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智能座舱Camera方案</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智能座舱功能安全</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车载芯片信息安全与安全启动</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OTA（空中下载技术）</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STR（suspend to RAM）方案</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jc w:val="center"/>
              <w:rPr>
                <w:rFonts w:hint="default" w:ascii="CESI仿宋-GB2312" w:hAnsi="CESI仿宋-GB2312" w:eastAsia="CESI仿宋-GB2312" w:cs="CESI仿宋-GB2312"/>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11" w:hRule="exact"/>
          <w:jc w:val="center"/>
        </w:trPr>
        <w:tc>
          <w:tcPr>
            <w:tcW w:w="329" w:type="dxa"/>
            <w:vMerge w:val="restart"/>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vMerge w:val="restart"/>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shd w:val="clear"/>
              </w:rPr>
              <w:t>智能机器人</w:t>
            </w:r>
            <w:r>
              <w:rPr>
                <w:rFonts w:hint="eastAsia" w:ascii="CESI仿宋-GB2312" w:hAnsi="CESI仿宋-GB2312" w:eastAsia="CESI仿宋-GB2312" w:cs="CESI仿宋-GB2312"/>
                <w:b/>
                <w:bCs/>
                <w:color w:val="auto"/>
                <w:sz w:val="21"/>
                <w:szCs w:val="21"/>
                <w:highlight w:val="none"/>
                <w:shd w:val="clear"/>
                <w:lang w:val="en-US" w:eastAsia="zh-CN"/>
              </w:rPr>
              <w:t>操作</w:t>
            </w:r>
            <w:r>
              <w:rPr>
                <w:rFonts w:hint="eastAsia" w:ascii="CESI仿宋-GB2312" w:hAnsi="CESI仿宋-GB2312" w:eastAsia="CESI仿宋-GB2312" w:cs="CESI仿宋-GB2312"/>
                <w:b/>
                <w:bCs/>
                <w:color w:val="auto"/>
                <w:sz w:val="21"/>
                <w:szCs w:val="21"/>
                <w:highlight w:val="none"/>
                <w:shd w:val="clear"/>
              </w:rPr>
              <w:t>与应用</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（初级）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智能协作机器人安装布置、智能协作机器人示教操作、智能协作机器人在线编程、智能协作机器人维修维护</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《机器人技术及应用》：赵光哲、李鸿志、唐冬冬 书号：978-7-111-66468-0</w:t>
            </w:r>
          </w:p>
        </w:tc>
        <w:tc>
          <w:tcPr>
            <w:tcW w:w="523" w:type="dxa"/>
            <w:noWrap w:val="0"/>
            <w:vAlign w:val="center"/>
          </w:tcPr>
          <w:p>
            <w:pPr>
              <w:jc w:val="cente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82"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（中级）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智能协作机器人技术及应用系统设计、智能协作机器人技术及应用系统编程、智能协作机器人技术及应用系统调试与优化、智能协作机器人技术及应用系统维护维修</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noWrap w:val="0"/>
            <w:vAlign w:val="center"/>
          </w:tcPr>
          <w:p>
            <w:pPr>
              <w:jc w:val="cente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《机器人操作与编程》：陈东伟、黄岚、高玉梅 书号：978-7-111-66756-8</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1"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（高级）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智能复合协作机器人应用方案设计与建模、智能复合协作机器人应用方案虚拟仿真与二次开发、智能复合协作机器人应用方案实现、人机共融应用方案设计与规划。</w:t>
            </w:r>
          </w:p>
        </w:tc>
        <w:tc>
          <w:tcPr>
            <w:tcW w:w="537" w:type="dxa"/>
            <w:noWrap w:val="0"/>
            <w:vAlign w:val="center"/>
          </w:tcPr>
          <w:p>
            <w:pPr>
              <w:jc w:val="cente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《机器人集成与应用》：陈友东、谭珠珠、唐冬冬 书号：978-7-111-66542-7</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8"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default" w:ascii="CESI仿宋-GB2312" w:hAnsi="CESI仿宋-GB2312" w:eastAsia="CESI仿宋-GB2312" w:cs="CESI仿宋-GB2312"/>
                <w:b/>
                <w:bCs/>
                <w:color w:val="0070C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智能制造</w:t>
            </w:r>
            <w:r>
              <w:rPr>
                <w:rFonts w:hint="eastAsia" w:ascii="CESI仿宋-GB2312" w:hAnsi="CESI仿宋-GB2312" w:eastAsia="CESI仿宋-GB2312" w:cs="CESI仿宋-GB2312"/>
                <w:b/>
                <w:bCs/>
                <w:color w:val="auto"/>
                <w:sz w:val="21"/>
                <w:szCs w:val="21"/>
                <w:highlight w:val="none"/>
                <w:lang w:val="en-US" w:eastAsia="zh-CN"/>
              </w:rPr>
              <w:t>工程应用</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了解国内外智能制造相关政策布局、技术趋势、产业发展和应用实践情况，了解国家主流智能制造体系架构标准，理解智能制造典型场景和环节，了解构建智能制造产线的软硬件产品，学习数字化装备、工业机器人、PLC仿真等核心产品、技术等基础知识，并在模拟产线上进行工业机器人的安装、调试与维护等实训操作。</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pStyle w:val="2"/>
              <w:rPr>
                <w:rFonts w:hint="eastAsia" w:ascii="Calibri" w:hAnsi="Calibri" w:eastAsia="宋体" w:cs="Times New Roman"/>
                <w:color w:val="000000" w:themeColor="text1"/>
                <w:kern w:val="2"/>
                <w:sz w:val="32"/>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72"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汽车电子技术开发与应用</w:t>
            </w:r>
            <w:r>
              <w:rPr>
                <w:rFonts w:hint="eastAsia" w:ascii="CESI仿宋-GB2312" w:hAnsi="CESI仿宋-GB2312" w:eastAsia="CESI仿宋-GB2312" w:cs="CESI仿宋-GB2312"/>
                <w:b/>
                <w:bCs/>
                <w:color w:val="auto"/>
                <w:sz w:val="21"/>
                <w:szCs w:val="21"/>
                <w:highlight w:val="none"/>
                <w:lang w:val="en-US" w:eastAsia="zh-CN"/>
              </w:rPr>
              <w:t>BMS</w:t>
            </w:r>
          </w:p>
        </w:tc>
        <w:tc>
          <w:tcPr>
            <w:tcW w:w="1138" w:type="dxa"/>
            <w:tcBorders>
              <w:right w:val="single" w:color="auto" w:sz="4" w:space="0"/>
            </w:tcBorders>
            <w:noWrap w:val="0"/>
            <w:vAlign w:val="center"/>
          </w:tcPr>
          <w:p>
            <w:pPr>
              <w:jc w:val="center"/>
              <w:rPr>
                <w:rFonts w:hint="eastAsia" w:eastAsia="CESI仿宋-GB2312"/>
                <w:color w:val="auto"/>
                <w:lang w:eastAsia="zh-CN"/>
              </w:rPr>
            </w:pPr>
            <w:r>
              <w:rPr>
                <w:rFonts w:hint="eastAsia" w:ascii="CESI仿宋-GB2312" w:hAnsi="CESI仿宋-GB2312" w:eastAsia="CESI仿宋-GB2312" w:cs="CESI仿宋-GB2312"/>
                <w:b/>
                <w:bCs/>
                <w:color w:val="auto"/>
                <w:sz w:val="21"/>
                <w:szCs w:val="21"/>
                <w:highlight w:val="none"/>
              </w:rPr>
              <w:t>80</w:t>
            </w:r>
            <w:r>
              <w:rPr>
                <w:rFonts w:hint="eastAsia" w:ascii="CESI仿宋-GB2312" w:hAnsi="CESI仿宋-GB2312" w:eastAsia="CESI仿宋-GB2312" w:cs="CESI仿宋-GB2312"/>
                <w:b/>
                <w:bCs/>
                <w:color w:val="auto"/>
                <w:sz w:val="21"/>
                <w:szCs w:val="21"/>
                <w:highlight w:val="none"/>
                <w:lang w:eastAsia="zh-CN"/>
              </w:rPr>
              <w:t>（实训学时不低于</w:t>
            </w:r>
            <w:r>
              <w:rPr>
                <w:rFonts w:hint="eastAsia" w:ascii="CESI仿宋-GB2312" w:hAnsi="CESI仿宋-GB2312" w:eastAsia="CESI仿宋-GB2312" w:cs="CESI仿宋-GB2312"/>
                <w:b/>
                <w:bCs/>
                <w:color w:val="auto"/>
                <w:sz w:val="21"/>
                <w:szCs w:val="21"/>
                <w:highlight w:val="none"/>
                <w:lang w:val="en-US" w:eastAsia="zh-CN"/>
              </w:rPr>
              <w:t>60%</w:t>
            </w:r>
            <w:r>
              <w:rPr>
                <w:rFonts w:hint="eastAsia" w:ascii="CESI仿宋-GB2312" w:hAnsi="CESI仿宋-GB2312" w:eastAsia="CESI仿宋-GB2312" w:cs="CESI仿宋-GB2312"/>
                <w:b/>
                <w:bCs/>
                <w:color w:val="auto"/>
                <w:sz w:val="21"/>
                <w:szCs w:val="21"/>
                <w:highlight w:val="none"/>
                <w:lang w:eastAsia="zh-CN"/>
              </w:rPr>
              <w:t>）</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MCU市场发展趋势及应用、开发平台搭建；单片机原理、C语言复习及深度解析LED；RCU时钟及GPIO原理及实操；UART模块、I2C模块介绍及实操；&lt;汽车车窗纹波防夹&gt;应用解决方案之硬件篇；&lt;汽车车窗纹波防夹&gt;应用解决方案之软件篇；&lt;汽车矩阵大灯&gt;应用解决方案之硬件篇；&lt;汽车矩阵大灯&gt;应用解决方案之软件篇；汽车CAN模块介绍、原理机制及实操；被动元器件在汽车电子的应用。</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5000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自编培训课件及资料</w:t>
            </w:r>
          </w:p>
        </w:tc>
        <w:tc>
          <w:tcPr>
            <w:tcW w:w="523" w:type="dxa"/>
            <w:noWrap w:val="0"/>
            <w:vAlign w:val="center"/>
          </w:tcPr>
          <w:p>
            <w:pPr>
              <w:jc w:val="center"/>
              <w:rPr>
                <w:rFonts w:hint="eastAsia" w:ascii="CESI仿宋-GB2312" w:hAnsi="CESI仿宋-GB2312" w:eastAsia="CESI仿宋-GB2312" w:cs="CESI仿宋-GB2312"/>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53"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开源鸿蒙</w:t>
            </w:r>
            <w:r>
              <w:rPr>
                <w:rFonts w:hint="eastAsia" w:ascii="CESI仿宋-GB2312" w:hAnsi="CESI仿宋-GB2312" w:eastAsia="CESI仿宋-GB2312" w:cs="CESI仿宋-GB2312"/>
                <w:b/>
                <w:bCs/>
                <w:color w:val="auto"/>
                <w:sz w:val="21"/>
                <w:szCs w:val="21"/>
                <w:highlight w:val="none"/>
              </w:rPr>
              <w:t>实战技术开发与应用</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w:t>
            </w:r>
            <w:r>
              <w:rPr>
                <w:rFonts w:hint="eastAsia" w:ascii="CESI仿宋-GB2312" w:hAnsi="CESI仿宋-GB2312" w:eastAsia="CESI仿宋-GB2312" w:cs="CESI仿宋-GB2312"/>
                <w:b/>
                <w:bCs/>
                <w:color w:val="auto"/>
                <w:sz w:val="21"/>
                <w:szCs w:val="21"/>
                <w:highlight w:val="none"/>
                <w:lang w:val="en-US" w:eastAsia="zh-CN"/>
              </w:rPr>
              <w:t>5</w:t>
            </w:r>
            <w:r>
              <w:rPr>
                <w:rFonts w:hint="eastAsia" w:ascii="CESI仿宋-GB2312" w:hAnsi="CESI仿宋-GB2312" w:eastAsia="CESI仿宋-GB2312" w:cs="CESI仿宋-GB2312"/>
                <w:b/>
                <w:bCs/>
                <w:color w:val="auto"/>
                <w:sz w:val="21"/>
                <w:szCs w:val="21"/>
                <w:highlight w:val="none"/>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Openharmony系统初识及设备开发环境介绍；OpenHarmony源码编译流程及驱动开发part1；OpenHarmony驱动开发及实操part2；OpenHarmony驱动开发及实操part3；OpenHarmony应用开发语言介绍及实操；OpenHarmony应用程序框架介绍及实操；OpenHarmony自定义组件介绍及实操；OpenHarmony一次开发，多端部署；OpenHarmony网络请求介绍及实操。</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5000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自编培训课件及资料</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8"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无人机技术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无人机的结构及飞行原理；无人机的动力系统及通信系统；无人机的电子设备系统、组装与调试；无人机的飞行与控制、应用以及飞行安全。</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4000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《无人机技术与应用》</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exact"/>
          <w:jc w:val="center"/>
        </w:trPr>
        <w:tc>
          <w:tcPr>
            <w:tcW w:w="329" w:type="dxa"/>
            <w:noWrap w:val="0"/>
            <w:vAlign w:val="center"/>
          </w:tcPr>
          <w:p>
            <w:pPr>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自动控制工程技术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eastAsia="zh-CN"/>
              </w:rPr>
              <w:t>参照</w:t>
            </w:r>
            <w:r>
              <w:rPr>
                <w:rFonts w:hint="eastAsia" w:ascii="CESI仿宋-GB2312" w:hAnsi="CESI仿宋-GB2312" w:eastAsia="CESI仿宋-GB2312" w:cs="CESI仿宋-GB2312"/>
                <w:b/>
                <w:bCs/>
                <w:color w:val="auto"/>
                <w:sz w:val="21"/>
                <w:szCs w:val="21"/>
                <w:highlight w:val="none"/>
              </w:rPr>
              <w:t>国家职业分类大典、职业标准要求开展培训。</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5000</w:t>
            </w:r>
          </w:p>
        </w:tc>
        <w:tc>
          <w:tcPr>
            <w:tcW w:w="1380"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需新开发教材</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82" w:hRule="exact"/>
          <w:jc w:val="center"/>
        </w:trPr>
        <w:tc>
          <w:tcPr>
            <w:tcW w:w="329" w:type="dxa"/>
            <w:noWrap w:val="0"/>
            <w:vAlign w:val="center"/>
          </w:tcPr>
          <w:p>
            <w:pPr>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工业自动化应用技术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rPr>
              <w:t>工业自动化4.0；ST MCU在工业自动化中的应用；工业自动化中传感器应用；工业自动化中总线技术；工业自动化中电机应用介绍；工业自动化中智能电源开关（IPS)和门极驱动技术方案；工业自动化生产线的模拟</w:t>
            </w:r>
            <w:r>
              <w:rPr>
                <w:rFonts w:hint="eastAsia" w:ascii="CESI仿宋-GB2312" w:hAnsi="CESI仿宋-GB2312" w:eastAsia="CESI仿宋-GB2312" w:cs="CESI仿宋-GB2312"/>
                <w:b/>
                <w:bCs/>
                <w:color w:val="auto"/>
                <w:sz w:val="21"/>
                <w:szCs w:val="21"/>
                <w:highlight w:val="none"/>
                <w:lang w:eastAsia="zh-CN"/>
              </w:rPr>
              <w:t>。</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5000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自编培训课件及资料</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44"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9</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新能源汽车高压安全操作、维护与整车技术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90</w:t>
            </w:r>
            <w:r>
              <w:rPr>
                <w:rFonts w:hint="eastAsia" w:ascii="CESI仿宋-GB2312" w:hAnsi="CESI仿宋-GB2312" w:eastAsia="CESI仿宋-GB2312" w:cs="CESI仿宋-GB2312"/>
                <w:b/>
                <w:bCs/>
                <w:color w:val="auto"/>
                <w:sz w:val="21"/>
                <w:szCs w:val="21"/>
                <w:highlight w:val="none"/>
              </w:rPr>
              <w:t>（实训学时不低于70%）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高压电安全操作与紧急情况处理，新能源汽车结构、特点、新能源汽车安全使用与维护与操作规范、高压安全部件介绍；高压上电和下电操作、整车零部件介绍、整车控制原理介绍、故障诊断仪使用方法，故障码读取和清除、实车故障排除。</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4000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《新款电动汽车结构原理与故障检修》等现成出版教材或自编教材</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64"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10</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纯电动汽车电控系统故障诊断与排除</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11</w:t>
            </w:r>
            <w:r>
              <w:rPr>
                <w:rFonts w:hint="eastAsia" w:ascii="CESI仿宋-GB2312" w:hAnsi="CESI仿宋-GB2312" w:eastAsia="CESI仿宋-GB2312" w:cs="CESI仿宋-GB2312"/>
                <w:b/>
                <w:bCs/>
                <w:color w:val="auto"/>
                <w:sz w:val="21"/>
                <w:szCs w:val="21"/>
                <w:highlight w:val="none"/>
              </w:rPr>
              <w:t>0（实训学时不低于</w:t>
            </w:r>
            <w:r>
              <w:rPr>
                <w:rFonts w:hint="eastAsia" w:ascii="CESI仿宋-GB2312" w:hAnsi="CESI仿宋-GB2312" w:eastAsia="CESI仿宋-GB2312" w:cs="CESI仿宋-GB2312"/>
                <w:b/>
                <w:bCs/>
                <w:color w:val="auto"/>
                <w:sz w:val="21"/>
                <w:szCs w:val="21"/>
                <w:highlight w:val="none"/>
                <w:lang w:val="en-US" w:eastAsia="zh-CN"/>
              </w:rPr>
              <w:t>7</w:t>
            </w:r>
            <w:r>
              <w:rPr>
                <w:rFonts w:hint="eastAsia" w:ascii="CESI仿宋-GB2312" w:hAnsi="CESI仿宋-GB2312" w:eastAsia="CESI仿宋-GB2312" w:cs="CESI仿宋-GB2312"/>
                <w:b/>
                <w:bCs/>
                <w:color w:val="auto"/>
                <w:sz w:val="21"/>
                <w:szCs w:val="21"/>
                <w:highlight w:val="none"/>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纯电动汽车电机电控结构及工作原理，整车无法上高压电、无法正常行驶等故障的诊断与排除。动力电池系统结构与工作原理、高压部件结构认知与测试、高压互锁功能和故障设置排除、高压绝缘测试、电流感应测量实验、纯电动汽车充电系统以及充电桩的结构及工作原理；交直流充电口定义及CAN通讯、交直流充电桩的高低压电路检测、维修。</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45</w:t>
            </w:r>
            <w:r>
              <w:rPr>
                <w:rFonts w:hint="eastAsia" w:ascii="CESI仿宋-GB2312" w:hAnsi="CESI仿宋-GB2312" w:eastAsia="CESI仿宋-GB2312" w:cs="CESI仿宋-GB2312"/>
                <w:b/>
                <w:bCs/>
                <w:color w:val="auto"/>
                <w:sz w:val="21"/>
                <w:szCs w:val="21"/>
                <w:highlight w:val="none"/>
              </w:rPr>
              <w:t>00</w:t>
            </w:r>
          </w:p>
        </w:tc>
        <w:tc>
          <w:tcPr>
            <w:tcW w:w="1380"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《新款电动汽车结构原理与故障检修》等现成出版教材或自编教材</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37"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11</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纯电动汽车空调与车身电器检修</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100</w:t>
            </w:r>
            <w:r>
              <w:rPr>
                <w:rFonts w:hint="eastAsia" w:ascii="CESI仿宋-GB2312" w:hAnsi="CESI仿宋-GB2312" w:eastAsia="CESI仿宋-GB2312" w:cs="CESI仿宋-GB2312"/>
                <w:b/>
                <w:bCs/>
                <w:color w:val="auto"/>
                <w:sz w:val="21"/>
                <w:szCs w:val="21"/>
                <w:highlight w:val="none"/>
              </w:rPr>
              <w:t>（实训学时不低于70%）</w:t>
            </w:r>
          </w:p>
        </w:tc>
        <w:tc>
          <w:tcPr>
            <w:tcW w:w="4962" w:type="dxa"/>
            <w:tcBorders>
              <w:left w:val="single" w:color="auto" w:sz="4" w:space="0"/>
            </w:tcBorders>
            <w:noWrap w:val="0"/>
            <w:vAlign w:val="center"/>
          </w:tcPr>
          <w:p>
            <w:pPr>
              <w:jc w:val="left"/>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纯电动汽车电动空调制冷及暖风系统高压结构认知与测试、冷媒加注及抽真空保压、检漏；车身电器结构、工作原理与检修</w:t>
            </w:r>
            <w:r>
              <w:rPr>
                <w:rFonts w:hint="eastAsia" w:ascii="CESI仿宋-GB2312" w:hAnsi="CESI仿宋-GB2312" w:eastAsia="CESI仿宋-GB2312" w:cs="CESI仿宋-GB2312"/>
                <w:b/>
                <w:bCs/>
                <w:color w:val="auto"/>
                <w:sz w:val="21"/>
                <w:szCs w:val="21"/>
                <w:highlight w:val="none"/>
                <w:lang w:eastAsia="zh-CN"/>
              </w:rPr>
              <w:t>；</w:t>
            </w:r>
            <w:r>
              <w:rPr>
                <w:rFonts w:hint="eastAsia" w:ascii="CESI仿宋-GB2312" w:hAnsi="CESI仿宋-GB2312" w:eastAsia="CESI仿宋-GB2312" w:cs="CESI仿宋-GB2312"/>
                <w:b/>
                <w:bCs/>
                <w:color w:val="auto"/>
                <w:sz w:val="21"/>
                <w:szCs w:val="21"/>
                <w:highlight w:val="none"/>
                <w:lang w:val="en-US" w:eastAsia="zh-CN"/>
              </w:rPr>
              <w:t>空调压缩机和PTC培训。</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4000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《新款电动汽车结构原理与故障检修》等现成出版教材或自编教材</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58"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12</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yellow"/>
              </w:rPr>
            </w:pPr>
            <w:r>
              <w:rPr>
                <w:rFonts w:hint="eastAsia" w:ascii="CESI仿宋-GB2312" w:hAnsi="CESI仿宋-GB2312" w:eastAsia="CESI仿宋-GB2312" w:cs="CESI仿宋-GB2312"/>
                <w:b/>
                <w:bCs/>
                <w:color w:val="auto"/>
                <w:sz w:val="21"/>
                <w:szCs w:val="21"/>
                <w:highlight w:val="none"/>
              </w:rPr>
              <w:t>工业机器人操作与编程</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工业机器人应用的安装、配置与调试方法</w:t>
            </w:r>
            <w:r>
              <w:rPr>
                <w:rFonts w:hint="eastAsia" w:ascii="CESI仿宋-GB2312" w:hAnsi="CESI仿宋-GB2312" w:eastAsia="CESI仿宋-GB2312" w:cs="CESI仿宋-GB2312"/>
                <w:b/>
                <w:bCs/>
                <w:color w:val="auto"/>
                <w:sz w:val="21"/>
                <w:szCs w:val="21"/>
                <w:highlight w:val="none"/>
                <w:lang w:eastAsia="zh-CN"/>
              </w:rPr>
              <w:t>、</w:t>
            </w:r>
            <w:r>
              <w:rPr>
                <w:rFonts w:hint="eastAsia" w:ascii="CESI仿宋-GB2312" w:hAnsi="CESI仿宋-GB2312" w:eastAsia="CESI仿宋-GB2312" w:cs="CESI仿宋-GB2312"/>
                <w:b/>
                <w:bCs/>
                <w:color w:val="auto"/>
                <w:sz w:val="21"/>
                <w:szCs w:val="21"/>
                <w:highlight w:val="none"/>
              </w:rPr>
              <w:t>示教器使用和机器人仿真软件应用</w:t>
            </w:r>
            <w:r>
              <w:rPr>
                <w:rFonts w:hint="eastAsia" w:ascii="CESI仿宋-GB2312" w:hAnsi="CESI仿宋-GB2312" w:eastAsia="CESI仿宋-GB2312" w:cs="CESI仿宋-GB2312"/>
                <w:b/>
                <w:bCs/>
                <w:color w:val="auto"/>
                <w:sz w:val="21"/>
                <w:szCs w:val="21"/>
                <w:highlight w:val="none"/>
                <w:lang w:eastAsia="zh-CN"/>
              </w:rPr>
              <w:t>、</w:t>
            </w:r>
            <w:r>
              <w:rPr>
                <w:rFonts w:hint="eastAsia" w:ascii="CESI仿宋-GB2312" w:hAnsi="CESI仿宋-GB2312" w:eastAsia="CESI仿宋-GB2312" w:cs="CESI仿宋-GB2312"/>
                <w:b/>
                <w:bCs/>
                <w:color w:val="auto"/>
                <w:sz w:val="21"/>
                <w:szCs w:val="21"/>
                <w:highlight w:val="none"/>
              </w:rPr>
              <w:t>机器人坐标系设置、程序管理、基本程序设计、运行控制、文件备份与加载、磁减速机器人关节模组介绍等。</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《工业机器人操作与编程》韩勇，徐明霞，梁毅主编 化学工业出版社</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826"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ascii="CESI仿宋-GB2312" w:hAnsi="CESI仿宋-GB2312" w:eastAsia="CESI仿宋-GB2312" w:cs="CESI仿宋-GB2312"/>
                <w:b/>
                <w:bCs/>
                <w:color w:val="auto"/>
                <w:sz w:val="21"/>
                <w:szCs w:val="21"/>
                <w:highlight w:val="none"/>
              </w:rPr>
              <w:t>1</w:t>
            </w:r>
            <w:r>
              <w:rPr>
                <w:rFonts w:hint="eastAsia" w:ascii="CESI仿宋-GB2312" w:hAnsi="CESI仿宋-GB2312" w:eastAsia="CESI仿宋-GB2312" w:cs="CESI仿宋-GB2312"/>
                <w:b/>
                <w:bCs/>
                <w:color w:val="auto"/>
                <w:sz w:val="21"/>
                <w:szCs w:val="21"/>
                <w:highlight w:val="none"/>
                <w:lang w:val="en-US" w:eastAsia="zh-CN"/>
              </w:rPr>
              <w:t>3</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人工智能与Python编程</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人工智能基础知识，Python基本编程技术，基于智能机器人的人工智能技能实践操作等。</w:t>
            </w:r>
          </w:p>
          <w:p>
            <w:pPr>
              <w:jc w:val="left"/>
              <w:rPr>
                <w:rFonts w:hint="eastAsia" w:ascii="CESI仿宋-GB2312" w:hAnsi="CESI仿宋-GB2312" w:eastAsia="CESI仿宋-GB2312" w:cs="CESI仿宋-GB2312"/>
                <w:b/>
                <w:bCs/>
                <w:color w:val="auto"/>
                <w:sz w:val="21"/>
                <w:szCs w:val="21"/>
                <w:highlight w:val="none"/>
              </w:rPr>
            </w:pPr>
          </w:p>
        </w:tc>
        <w:tc>
          <w:tcPr>
            <w:tcW w:w="537"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《人工智能及其应用》，作者：蔡自兴，出版社：清华大学出版社。</w:t>
            </w:r>
          </w:p>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《Python编程：从入门到实践》，作者：Eric Matthes，译者：袁国忠，出版社：人民邮电出版社。</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9"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1</w:t>
            </w:r>
            <w:r>
              <w:rPr>
                <w:rFonts w:hint="eastAsia" w:ascii="CESI仿宋-GB2312" w:hAnsi="CESI仿宋-GB2312" w:eastAsia="CESI仿宋-GB2312" w:cs="CESI仿宋-GB2312"/>
                <w:b/>
                <w:bCs/>
                <w:color w:val="auto"/>
                <w:sz w:val="21"/>
                <w:szCs w:val="21"/>
                <w:highlight w:val="none"/>
                <w:lang w:val="en-US" w:eastAsia="zh-CN"/>
              </w:rPr>
              <w:t>4</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人工智能视觉编程</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rPr>
              <w:t>工业机器人视觉系统的典型应用、视觉软件组态编程、通信参数配置、编程调试等</w:t>
            </w:r>
            <w:r>
              <w:rPr>
                <w:rFonts w:hint="eastAsia" w:ascii="CESI仿宋-GB2312" w:hAnsi="CESI仿宋-GB2312" w:eastAsia="CESI仿宋-GB2312" w:cs="CESI仿宋-GB2312"/>
                <w:b/>
                <w:bCs/>
                <w:color w:val="auto"/>
                <w:sz w:val="21"/>
                <w:szCs w:val="21"/>
                <w:highlight w:val="none"/>
                <w:lang w:eastAsia="zh-CN"/>
              </w:rPr>
              <w:t>；实践教学内容：视觉技术基础，工业机器人视觉系统，智能视觉系统，智能机器视觉应用实例，工业机器人操作基础，工业机器人编程及应用，工业机器人视觉系统应用（基于以太网），工业机器人视觉系统应用（基于现场总线）。</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《工业机器人视觉技术及应用》 张明文，王璐欢著 人民邮电出版社</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26"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ascii="CESI仿宋-GB2312" w:hAnsi="CESI仿宋-GB2312" w:eastAsia="CESI仿宋-GB2312" w:cs="CESI仿宋-GB2312"/>
                <w:b/>
                <w:bCs/>
                <w:color w:val="auto"/>
                <w:sz w:val="21"/>
                <w:szCs w:val="21"/>
                <w:highlight w:val="none"/>
              </w:rPr>
              <w:t>1</w:t>
            </w:r>
            <w:r>
              <w:rPr>
                <w:rFonts w:hint="eastAsia" w:ascii="CESI仿宋-GB2312" w:hAnsi="CESI仿宋-GB2312" w:eastAsia="CESI仿宋-GB2312" w:cs="CESI仿宋-GB2312"/>
                <w:b/>
                <w:bCs/>
                <w:color w:val="auto"/>
                <w:sz w:val="21"/>
                <w:szCs w:val="21"/>
                <w:highlight w:val="none"/>
                <w:lang w:val="en-US" w:eastAsia="zh-CN"/>
              </w:rPr>
              <w:t>5</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 xml:space="preserve">工业机器人操作与维护 </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工业机器人的选型、手动操作、坐标设定、轨迹模拟，搬运、码垛等工作站的编程设计，工业机器人应用的安装、配置与调试方法</w:t>
            </w:r>
            <w:r>
              <w:rPr>
                <w:rFonts w:hint="eastAsia" w:ascii="CESI仿宋-GB2312" w:hAnsi="CESI仿宋-GB2312" w:eastAsia="CESI仿宋-GB2312" w:cs="CESI仿宋-GB2312"/>
                <w:b/>
                <w:bCs/>
                <w:color w:val="auto"/>
                <w:sz w:val="21"/>
                <w:szCs w:val="21"/>
                <w:highlight w:val="none"/>
                <w:lang w:eastAsia="zh-CN"/>
              </w:rPr>
              <w:t>，</w:t>
            </w:r>
            <w:r>
              <w:rPr>
                <w:rFonts w:hint="eastAsia" w:ascii="CESI仿宋-GB2312" w:hAnsi="CESI仿宋-GB2312" w:eastAsia="CESI仿宋-GB2312" w:cs="CESI仿宋-GB2312"/>
                <w:b/>
                <w:bCs/>
                <w:color w:val="auto"/>
                <w:sz w:val="21"/>
                <w:szCs w:val="21"/>
                <w:highlight w:val="none"/>
              </w:rPr>
              <w:t>工业机器人基本维护。</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《工业机器人系统操作与维护》郝飞著 化学工业出版社</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25" w:hRule="exact"/>
          <w:jc w:val="center"/>
        </w:trPr>
        <w:tc>
          <w:tcPr>
            <w:tcW w:w="329" w:type="dxa"/>
            <w:vMerge w:val="restart"/>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1</w:t>
            </w:r>
            <w:r>
              <w:rPr>
                <w:rFonts w:hint="eastAsia" w:ascii="CESI仿宋-GB2312" w:hAnsi="CESI仿宋-GB2312" w:eastAsia="CESI仿宋-GB2312" w:cs="CESI仿宋-GB2312"/>
                <w:b/>
                <w:bCs/>
                <w:color w:val="auto"/>
                <w:sz w:val="21"/>
                <w:szCs w:val="21"/>
                <w:highlight w:val="none"/>
                <w:lang w:val="en-US" w:eastAsia="zh-CN"/>
              </w:rPr>
              <w:t>6</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vMerge w:val="restart"/>
            <w:noWrap w:val="0"/>
            <w:vAlign w:val="center"/>
          </w:tcPr>
          <w:p>
            <w:pPr>
              <w:jc w:val="left"/>
              <w:rPr>
                <w:rFonts w:hint="eastAsia" w:ascii="CESI仿宋-GB2312" w:hAnsi="CESI仿宋-GB2312" w:eastAsia="CESI仿宋-GB2312" w:cs="CESI仿宋-GB2312"/>
                <w:b/>
                <w:bCs/>
                <w:color w:val="FF0000"/>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人工智能训练师</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60（初级）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于</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参</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1000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1"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vMerge w:val="continue"/>
            <w:noWrap w:val="0"/>
            <w:vAlign w:val="center"/>
          </w:tcPr>
          <w:p>
            <w:pPr>
              <w:jc w:val="left"/>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left"/>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50（中级）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6"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vMerge w:val="continue"/>
            <w:noWrap w:val="0"/>
            <w:vAlign w:val="center"/>
          </w:tcPr>
          <w:p>
            <w:pPr>
              <w:jc w:val="left"/>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left"/>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40（高级）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2000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6" w:hRule="exact"/>
          <w:jc w:val="center"/>
        </w:trPr>
        <w:tc>
          <w:tcPr>
            <w:tcW w:w="329"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1</w:t>
            </w:r>
            <w:r>
              <w:rPr>
                <w:rFonts w:hint="eastAsia" w:ascii="CESI仿宋-GB2312" w:hAnsi="CESI仿宋-GB2312" w:eastAsia="CESI仿宋-GB2312" w:cs="CESI仿宋-GB2312"/>
                <w:b/>
                <w:bCs/>
                <w:color w:val="auto"/>
                <w:sz w:val="21"/>
                <w:szCs w:val="21"/>
                <w:highlight w:val="none"/>
                <w:lang w:val="en-US" w:eastAsia="zh-CN"/>
              </w:rPr>
              <w:t>7</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PLC</w:t>
            </w:r>
            <w:r>
              <w:rPr>
                <w:rFonts w:hint="eastAsia" w:ascii="CESI仿宋-GB2312" w:hAnsi="CESI仿宋-GB2312" w:eastAsia="CESI仿宋-GB2312" w:cs="CESI仿宋-GB2312"/>
                <w:b/>
                <w:bCs/>
                <w:color w:val="auto"/>
                <w:sz w:val="21"/>
                <w:szCs w:val="21"/>
                <w:highlight w:val="none"/>
                <w:lang w:eastAsia="zh-CN"/>
              </w:rPr>
              <w:t>、</w:t>
            </w:r>
            <w:r>
              <w:rPr>
                <w:rFonts w:hint="eastAsia" w:ascii="CESI仿宋-GB2312" w:hAnsi="CESI仿宋-GB2312" w:eastAsia="CESI仿宋-GB2312" w:cs="CESI仿宋-GB2312"/>
                <w:b/>
                <w:bCs/>
                <w:color w:val="auto"/>
                <w:sz w:val="21"/>
                <w:szCs w:val="21"/>
                <w:highlight w:val="none"/>
              </w:rPr>
              <w:t>触摸屏</w:t>
            </w:r>
            <w:r>
              <w:rPr>
                <w:rFonts w:hint="eastAsia" w:ascii="CESI仿宋-GB2312" w:hAnsi="CESI仿宋-GB2312" w:eastAsia="CESI仿宋-GB2312" w:cs="CESI仿宋-GB2312"/>
                <w:b/>
                <w:bCs/>
                <w:color w:val="auto"/>
                <w:sz w:val="21"/>
                <w:szCs w:val="21"/>
                <w:highlight w:val="none"/>
                <w:lang w:val="en-US" w:eastAsia="zh-CN"/>
              </w:rPr>
              <w:t>与</w:t>
            </w:r>
            <w:r>
              <w:rPr>
                <w:rFonts w:hint="eastAsia" w:ascii="CESI仿宋-GB2312" w:hAnsi="CESI仿宋-GB2312" w:eastAsia="CESI仿宋-GB2312" w:cs="CESI仿宋-GB2312"/>
                <w:b/>
                <w:bCs/>
                <w:color w:val="auto"/>
                <w:sz w:val="21"/>
                <w:szCs w:val="21"/>
                <w:highlight w:val="none"/>
              </w:rPr>
              <w:t>变频器综合运用</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可编程控制器的硬件构成，基本指令、逻辑指令和顺序控制指令的编程应用，</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触摸屏、</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变频器的基本操作及综合运用。</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我中心开发教材</w:t>
            </w:r>
          </w:p>
        </w:tc>
        <w:tc>
          <w:tcPr>
            <w:tcW w:w="523" w:type="dxa"/>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5"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18</w:t>
            </w:r>
          </w:p>
        </w:tc>
        <w:tc>
          <w:tcPr>
            <w:tcW w:w="1177" w:type="dxa"/>
            <w:vMerge w:val="restart"/>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超高清视频显示</w:t>
            </w:r>
          </w:p>
        </w:tc>
        <w:tc>
          <w:tcPr>
            <w:tcW w:w="1065" w:type="dxa"/>
            <w:noWrap w:val="0"/>
            <w:vAlign w:val="center"/>
          </w:tcPr>
          <w:p>
            <w:pPr>
              <w:tabs>
                <w:tab w:val="left" w:pos="394"/>
              </w:tabs>
              <w:jc w:val="center"/>
              <w:rPr>
                <w:rFonts w:hint="eastAsia" w:ascii="CESI仿宋-GB2312" w:hAnsi="CESI仿宋-GB2312" w:eastAsia="CESI仿宋-GB2312" w:cs="CESI仿宋-GB2312"/>
                <w:b/>
                <w:bCs/>
                <w:color w:val="0070C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超高清视频显示维修技术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Mini LED/Micro-LED显示控制系统调试、显示屏安装与常见故障分析、模组维修、显示屏检验标准、分析问题原理、通讯协议、操作软件安装、芯片基础知识、开光电源和封装原理、光学色度学基础知识、校正软件操作</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noWrap w:val="0"/>
            <w:vAlign w:val="center"/>
          </w:tcPr>
          <w:p>
            <w:pPr>
              <w:spacing w:line="200" w:lineRule="atLeast"/>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4000</w:t>
            </w:r>
          </w:p>
        </w:tc>
        <w:tc>
          <w:tcPr>
            <w:tcW w:w="1380" w:type="dxa"/>
            <w:noWrap w:val="0"/>
            <w:vAlign w:val="center"/>
          </w:tcPr>
          <w:p>
            <w:pPr>
              <w:widowControl/>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01"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default" w:ascii="CESI仿宋-GB2312" w:hAnsi="CESI仿宋-GB2312" w:eastAsia="CESI仿宋-GB2312" w:cs="CESI仿宋-GB2312"/>
                <w:b/>
                <w:bCs/>
                <w:color w:val="auto"/>
                <w:sz w:val="21"/>
                <w:szCs w:val="21"/>
                <w:highlight w:val="none"/>
                <w:lang w:val="en-US" w:eastAsia="zh-CN"/>
              </w:rPr>
              <w:t>1</w:t>
            </w:r>
            <w:r>
              <w:rPr>
                <w:rFonts w:hint="eastAsia" w:ascii="CESI仿宋-GB2312" w:hAnsi="CESI仿宋-GB2312" w:eastAsia="CESI仿宋-GB2312" w:cs="CESI仿宋-GB2312"/>
                <w:b/>
                <w:bCs/>
                <w:color w:val="auto"/>
                <w:sz w:val="21"/>
                <w:szCs w:val="21"/>
                <w:highlight w:val="none"/>
                <w:lang w:val="en-US" w:eastAsia="zh-CN"/>
              </w:rPr>
              <w:t>9</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LED显示技术</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显示屏常用控制系统相关知识、LED显示屏原理、显示屏基础电路知识、光学色度基础知识、白平衡相关操作工具（万用表、钳流表、光枪）、校正软件基础操作、维修工具（电络铁、风简、万用表）的操作、LED显示屏检验及维修、SMT设备（印刷机、回流焊、贴片机）基本操作。</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42"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20</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color w:val="auto"/>
                <w:sz w:val="21"/>
                <w:szCs w:val="21"/>
                <w:highlight w:val="none"/>
              </w:rPr>
            </w:pPr>
          </w:p>
        </w:tc>
        <w:tc>
          <w:tcPr>
            <w:tcW w:w="1065" w:type="dxa"/>
            <w:noWrap w:val="0"/>
            <w:vAlign w:val="center"/>
          </w:tcPr>
          <w:p>
            <w:pPr>
              <w:tabs>
                <w:tab w:val="left" w:pos="394"/>
              </w:tabs>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超高清视频显示应用技术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控制系统与工程应用、照明亮化应用技术、小间距及微间距显示屏应用技术、Mini LED-Micro-LED的光源应用技术、Mini-LED与Micro-LED相关检测技术、COB集成封装技术。</w:t>
            </w:r>
          </w:p>
        </w:tc>
        <w:tc>
          <w:tcPr>
            <w:tcW w:w="537" w:type="dxa"/>
            <w:noWrap w:val="0"/>
            <w:vAlign w:val="center"/>
          </w:tcPr>
          <w:p>
            <w:pPr>
              <w:spacing w:line="200" w:lineRule="atLeast"/>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1500</w:t>
            </w:r>
          </w:p>
        </w:tc>
        <w:tc>
          <w:tcPr>
            <w:tcW w:w="1380" w:type="dxa"/>
            <w:noWrap w:val="0"/>
            <w:vAlign w:val="center"/>
          </w:tcPr>
          <w:p>
            <w:pPr>
              <w:widowControl/>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43"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w:t>
            </w:r>
            <w:r>
              <w:rPr>
                <w:rFonts w:hint="default" w:ascii="CESI仿宋-GB2312" w:hAnsi="CESI仿宋-GB2312" w:eastAsia="CESI仿宋-GB2312" w:cs="CESI仿宋-GB2312"/>
                <w:b/>
                <w:bCs/>
                <w:color w:val="auto"/>
                <w:sz w:val="21"/>
                <w:szCs w:val="21"/>
                <w:highlight w:val="none"/>
                <w:lang w:val="en-US" w:eastAsia="zh-CN"/>
              </w:rPr>
              <w:t>1</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tabs>
                <w:tab w:val="left" w:pos="394"/>
              </w:tabs>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智能电视板卡维修技术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ascii="CESI仿宋-GB2312" w:hAnsi="CESI仿宋-GB2312" w:eastAsia="CESI仿宋-GB2312" w:cs="CESI仿宋-GB2312"/>
                <w:b/>
                <w:bCs/>
                <w:color w:val="000000" w:themeColor="text1"/>
                <w:sz w:val="21"/>
                <w:szCs w:val="21"/>
                <w:highlight w:val="none"/>
                <w14:textFill>
                  <w14:solidFill>
                    <w14:schemeClr w14:val="tx1"/>
                  </w14:solidFill>
                </w14:textFill>
              </w:rPr>
              <w:t>8</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国家职业大典、职业标准要求或者职业技能等级评价机构培训教材要求开展培训。</w:t>
            </w:r>
          </w:p>
        </w:tc>
        <w:tc>
          <w:tcPr>
            <w:tcW w:w="537"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widowControl/>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职业技能等级评级机构培训教材或符合国家职业大典或国家职业标准内容的教材</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59"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w:t>
            </w:r>
            <w:r>
              <w:rPr>
                <w:rFonts w:hint="default" w:ascii="CESI仿宋-GB2312" w:hAnsi="CESI仿宋-GB2312" w:eastAsia="CESI仿宋-GB2312" w:cs="CESI仿宋-GB2312"/>
                <w:b/>
                <w:bCs/>
                <w:color w:val="auto"/>
                <w:sz w:val="21"/>
                <w:szCs w:val="21"/>
                <w:highlight w:val="none"/>
                <w:lang w:val="en-US" w:eastAsia="zh-CN"/>
              </w:rPr>
              <w:t>2</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tabs>
                <w:tab w:val="left" w:pos="394"/>
              </w:tabs>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液晶显示器件制造技术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国家职业大典、职业标准要求或者职业技能等级评价机构培训教材要求开展培训。</w:t>
            </w:r>
          </w:p>
        </w:tc>
        <w:tc>
          <w:tcPr>
            <w:tcW w:w="537"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widowControl/>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职业技能等级评级机构培训教材或符合国家职业大典或国家职业标准内容的教材</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56"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w:t>
            </w:r>
            <w:r>
              <w:rPr>
                <w:rFonts w:hint="default" w:ascii="CESI仿宋-GB2312" w:hAnsi="CESI仿宋-GB2312" w:eastAsia="CESI仿宋-GB2312" w:cs="CESI仿宋-GB2312"/>
                <w:b/>
                <w:bCs/>
                <w:color w:val="auto"/>
                <w:sz w:val="21"/>
                <w:szCs w:val="21"/>
                <w:highlight w:val="none"/>
                <w:lang w:val="en-US" w:eastAsia="zh-CN"/>
              </w:rPr>
              <w:t>3</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tabs>
                <w:tab w:val="left" w:pos="394"/>
              </w:tabs>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液晶检测维修技术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国家职业大典、职业标准要求或者职业技能等级评价机构培训教材要求开展培训。</w:t>
            </w:r>
          </w:p>
        </w:tc>
        <w:tc>
          <w:tcPr>
            <w:tcW w:w="537"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1500</w:t>
            </w:r>
          </w:p>
        </w:tc>
        <w:tc>
          <w:tcPr>
            <w:tcW w:w="1380" w:type="dxa"/>
            <w:noWrap w:val="0"/>
            <w:vAlign w:val="center"/>
          </w:tcPr>
          <w:p>
            <w:pPr>
              <w:widowControl/>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职业技能等级评级机构培训教材或符合国家职业大典或国家职业标准内容的教材</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24</w:t>
            </w:r>
          </w:p>
        </w:tc>
        <w:tc>
          <w:tcPr>
            <w:tcW w:w="1177" w:type="dxa"/>
            <w:vMerge w:val="restart"/>
            <w:noWrap w:val="0"/>
            <w:vAlign w:val="top"/>
          </w:tcPr>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p>
          <w:p>
            <w:pPr>
              <w:jc w:val="left"/>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半导体及电子元器件</w:t>
            </w: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rPr>
            </w:pPr>
          </w:p>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FPGA</w:t>
            </w:r>
            <w:r>
              <w:rPr>
                <w:rFonts w:hint="eastAsia" w:ascii="CESI仿宋-GB2312" w:hAnsi="CESI仿宋-GB2312" w:eastAsia="CESI仿宋-GB2312" w:cs="CESI仿宋-GB2312"/>
                <w:b/>
                <w:bCs/>
                <w:color w:val="auto"/>
                <w:sz w:val="21"/>
                <w:szCs w:val="21"/>
                <w:highlight w:val="none"/>
                <w:lang w:val="en-US" w:eastAsia="zh-CN"/>
              </w:rPr>
              <w:t>系统</w:t>
            </w:r>
            <w:r>
              <w:rPr>
                <w:rFonts w:hint="eastAsia" w:ascii="CESI仿宋-GB2312" w:hAnsi="CESI仿宋-GB2312" w:eastAsia="CESI仿宋-GB2312" w:cs="CESI仿宋-GB2312"/>
                <w:b/>
                <w:bCs/>
                <w:color w:val="auto"/>
                <w:sz w:val="21"/>
                <w:szCs w:val="21"/>
                <w:highlight w:val="none"/>
              </w:rPr>
              <w:t>开发</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走进FPFA开发；FPGA硬件和系统；HDL硬件描述语言入门；HDL：典型案例和结构；FPGA典型硬件资源1-时钟资源；FPGA典型硬件资源2-RAM和Fifo；综合项目：FPGA图像处理应用。</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52"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25</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电池制造工</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材料学、电子电路、电化学、机械制造与智能化电气化等基础知识，电池生产工艺及结构设计；安全生产操作规范。</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锂离子电池制造工艺原理与应用</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及自编课件及培训材料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48"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26</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新能源汽车电池维修保养技术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0（实训不低于60%）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新能源产业基础知识，电池系统及主要部件、工装认知识别，绝缘与常用仪器仪表介绍与操作，电池系统的性能检测、拆装、基础维护方案和操作介绍，动力电池系统故障诊断诊断与维护保养操作；充电系统基本构造和功能、检查与诊断、故障排除、部件拆装及常见故障及维护方法；电池系统开箱、封包规范化操作、部件维修替换操作、电池BMS管理系统功能、接口及故障判断、高压系统故障检查与修复操作（部件替换操作）、电池系统均衡原理及电池系统维护方法、电池系统数据监控及分析、维护点现场管理和操作管理、数据监控及分析实例。</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自编课件及培训材料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59"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27</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0070C0"/>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废旧电池回收处理处置技术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废旧电池回收行业现状及政策趋势、锂电池的分类及识别方法、动力电池回收及再生工艺流程、废旧锂电池残值评估及计算方法、电池回收设备的识别及使用、废旧锂电池的检测与梯次利用，锂电池PACK设计及组装、电池废料分选分容与梯次计价方式、电池回收白名单申请流程解析。</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自编课件及培训材料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21"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28</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嵌入式系统设计</w:t>
            </w:r>
            <w:r>
              <w:rPr>
                <w:rFonts w:hint="eastAsia" w:ascii="CESI仿宋-GB2312" w:hAnsi="CESI仿宋-GB2312" w:eastAsia="CESI仿宋-GB2312" w:cs="CESI仿宋-GB2312"/>
                <w:b/>
                <w:bCs/>
                <w:color w:val="auto"/>
                <w:sz w:val="21"/>
                <w:szCs w:val="21"/>
                <w:highlight w:val="none"/>
                <w:lang w:val="en-US" w:eastAsia="zh-CN"/>
              </w:rPr>
              <w:t>与开发</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80（理实一体化）</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MCU市场发展趋势及应用；单片机原理、C语言复习及深度解析LED；RCU时钟及GPIO原理；UART模块、I2C模块介绍及实操；DAC外设模块、ADC外设模块介绍及实操；DMA模块介绍、原理及实操；RTC模块介绍及实操、EXTI外部中断介绍及实操；窗口及独立看门狗模块介绍、实现原理及实操；PMU模块介绍、PMU低功耗模式介绍及实操。</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5000</w:t>
            </w:r>
          </w:p>
        </w:tc>
        <w:tc>
          <w:tcPr>
            <w:tcW w:w="1380"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29</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质检员技能培训</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质量基础、质量检验、抽样基础、检验相关流程、计量基础、常用检测设备、QCC等。（电池及电子元件）</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1500</w:t>
            </w:r>
          </w:p>
        </w:tc>
        <w:tc>
          <w:tcPr>
            <w:tcW w:w="1380"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0"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30</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IC封装技术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IC封装技术（固晶、注塑、切筋、焊线）、IC封装制程技术（IC工艺，理论知识）、检验测试（产品标准，设备操作）、工艺工程技术、设备设施维修调试技术。</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1"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31</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汽车电子、电路应用技术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汽车电子电路的基础知识及应用、开关电源、AC/DC、DC/DC电路知识、车载电机的技术介绍及操作、汽车电路板的简易维修等。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9"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32</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智慧电池管理芯片应用技术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智慧电池管理芯片技术的功能开发、调试及应用。</w:t>
            </w:r>
          </w:p>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88"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33</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半导体照明封装技术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LED封装技术（焊线机，固晶机、点胶机）、LED封装制程技术（LED工艺，理论知识）、检验测试（产品标准，设备操作）、工艺工程技术、白光技术（荧光粉配比技术、相应专业知识）、设备设施维修调试技术。</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需新开发教材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82"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34</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SMT操作技术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元器件知识；印刷线路板技术；印刷线路板组装技术；手动插入技术和表面组装（装贴）技术等。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1"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35</w:t>
            </w:r>
          </w:p>
        </w:tc>
        <w:tc>
          <w:tcPr>
            <w:tcW w:w="1177" w:type="dxa"/>
            <w:vMerge w:val="continue"/>
            <w:noWrap w:val="0"/>
            <w:vAlign w:val="top"/>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焊锡工艺技术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产品焊锡工艺；镀锡设备操作、调试和日常维护；质量控制标准；现场5S管理；安全生产管理等。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04"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36</w:t>
            </w:r>
          </w:p>
        </w:tc>
        <w:tc>
          <w:tcPr>
            <w:tcW w:w="1177"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工业母机</w:t>
            </w:r>
          </w:p>
        </w:tc>
        <w:tc>
          <w:tcPr>
            <w:tcW w:w="1065" w:type="dxa"/>
            <w:noWrap w:val="0"/>
            <w:vAlign w:val="center"/>
          </w:tcPr>
          <w:p>
            <w:pPr>
              <w:rPr>
                <w:rFonts w:hint="eastAsia" w:ascii="CESI仿宋-GB2312" w:hAnsi="CESI仿宋-GB2312" w:eastAsia="CESI仿宋-GB2312" w:cs="CESI仿宋-GB2312"/>
                <w:b/>
                <w:bCs/>
                <w:color w:val="0070C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工业产品建模设计师（中级）</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（理实一体化）</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界面操作与基础设置工具系统、建模核心工具系统、建模辅助工具系统、建模分析工具系统、通用变动与编辑工具系统</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等。</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《Rhino基础操作》</w:t>
            </w:r>
          </w:p>
        </w:tc>
        <w:tc>
          <w:tcPr>
            <w:tcW w:w="523"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6"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37</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0070C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工业产品结构设计师（中级）</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（理实一体化）</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界面熟悉和基础实体建模工具</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曲面造型工具、工程特征工具、编辑工具、阵列工具、骨架建模工具、CAD三维倒线框、零件装配、视图管理、工程图出图、外来模型的修复和修改、分析工具、外观调整、参照图片、STP、STL和线框建模、利用参数、关系和族表设计</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模型等。</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《PROE基础实操》</w:t>
            </w:r>
          </w:p>
        </w:tc>
        <w:tc>
          <w:tcPr>
            <w:tcW w:w="523"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03"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38</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车工</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27"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39</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铣工</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68"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40</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机修钳工</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57"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41</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模具设计</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88"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42</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模具技术员</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17"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43</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五金技术员</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eastAsia="zh-CN"/>
              </w:rPr>
              <w:t>参照</w:t>
            </w:r>
            <w:r>
              <w:rPr>
                <w:rFonts w:hint="eastAsia" w:ascii="CESI仿宋-GB2312" w:hAnsi="CESI仿宋-GB2312" w:eastAsia="CESI仿宋-GB2312" w:cs="CESI仿宋-GB2312"/>
                <w:b/>
                <w:bCs/>
                <w:color w:val="auto"/>
                <w:sz w:val="21"/>
                <w:szCs w:val="21"/>
                <w:highlight w:val="none"/>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职业技能等级评级机构培训教材或符合国家职业分类大典或国家职业标准内容的教材</w:t>
            </w:r>
          </w:p>
        </w:tc>
        <w:tc>
          <w:tcPr>
            <w:tcW w:w="523" w:type="dxa"/>
            <w:noWrap w:val="0"/>
            <w:vAlign w:val="center"/>
          </w:tcPr>
          <w:p>
            <w:pPr>
              <w:jc w:val="left"/>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38"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44</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模具工</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eastAsia="zh-CN"/>
              </w:rPr>
              <w:t>参照</w:t>
            </w:r>
            <w:r>
              <w:rPr>
                <w:rFonts w:hint="eastAsia" w:ascii="CESI仿宋-GB2312" w:hAnsi="CESI仿宋-GB2312" w:eastAsia="CESI仿宋-GB2312" w:cs="CESI仿宋-GB2312"/>
                <w:b/>
                <w:bCs/>
                <w:color w:val="auto"/>
                <w:sz w:val="21"/>
                <w:szCs w:val="21"/>
                <w:highlight w:val="none"/>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职业技能等级评级机构培训教材或符合国家职业分类大典或国家职业标准内容的教材</w:t>
            </w:r>
          </w:p>
        </w:tc>
        <w:tc>
          <w:tcPr>
            <w:tcW w:w="523" w:type="dxa"/>
            <w:noWrap w:val="0"/>
            <w:vAlign w:val="center"/>
          </w:tcPr>
          <w:p>
            <w:pPr>
              <w:rPr>
                <w:rFonts w:hint="eastAsia" w:ascii="CESI仿宋-GB2312" w:hAnsi="CESI仿宋-GB2312" w:eastAsia="CESI仿宋-GB2312" w:cs="CESI仿宋-GB2312"/>
                <w:b/>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12"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45</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电切削工</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职业技能等级评级机构培训教材或符合国家职业大典或国家职业标准内容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的教材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40"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46</w:t>
            </w:r>
          </w:p>
        </w:tc>
        <w:tc>
          <w:tcPr>
            <w:tcW w:w="1177"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激光增材</w:t>
            </w: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激光设备基本操作与维护</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激光设备操作安全防护、激光加工工艺；二维图形设计；激光设备操作、调试和日常维护；质量控制标准；现场5S管理等。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29"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47</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激光机装调技术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7"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48</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电气设备安装工</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70"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49</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机械设备安装工</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职业技能等级评级机构培训教材或符合国家职业分类大典或国家职业标准内容的教材</w:t>
            </w:r>
          </w:p>
        </w:tc>
        <w:tc>
          <w:tcPr>
            <w:tcW w:w="523"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95" w:hRule="exact"/>
          <w:jc w:val="center"/>
        </w:trPr>
        <w:tc>
          <w:tcPr>
            <w:tcW w:w="329" w:type="dxa"/>
            <w:tcBorders>
              <w:bottom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50</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3D打印技术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3D打印技术的发展历程、工作原理、成型技术及其在各个领域的应用</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；3D打印技术的前处理、后处理技术；3D打印技术所用耗材的种类以及三维建模软件的相关内容。</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《3D打印：数字化智能制造技术与应用》科学出版社</w:t>
            </w:r>
          </w:p>
        </w:tc>
        <w:tc>
          <w:tcPr>
            <w:tcW w:w="523" w:type="dxa"/>
            <w:noWrap w:val="0"/>
            <w:vAlign w:val="center"/>
          </w:tcPr>
          <w:p>
            <w:pP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2"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51</w:t>
            </w:r>
          </w:p>
        </w:tc>
        <w:tc>
          <w:tcPr>
            <w:tcW w:w="1177"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宽带网络和通信</w:t>
            </w:r>
          </w:p>
        </w:tc>
        <w:tc>
          <w:tcPr>
            <w:tcW w:w="1065" w:type="dxa"/>
            <w:noWrap w:val="0"/>
            <w:vAlign w:val="center"/>
          </w:tcPr>
          <w:p>
            <w:pPr>
              <w:jc w:val="left"/>
              <w:rPr>
                <w:rFonts w:hint="eastAsia" w:ascii="CESI仿宋-GB2312" w:hAnsi="CESI仿宋-GB2312" w:eastAsia="CESI仿宋-GB2312" w:cs="CESI仿宋-GB2312"/>
                <w:b/>
                <w:bCs/>
                <w:color w:val="FF000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eastAsia="zh-CN"/>
              </w:rPr>
              <w:t>区块链技术应用</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40（理实一体化）</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Linux网络操作系统，掌握Linux 文件、目录的常用操作命令使用方法；区块链技术，掌握FISCO-BCOS 的部署方法；区块链开发实践，掌握Fabric开发与自主可控。</w:t>
            </w:r>
          </w:p>
        </w:tc>
        <w:tc>
          <w:tcPr>
            <w:tcW w:w="537" w:type="dxa"/>
            <w:noWrap w:val="0"/>
            <w:vAlign w:val="center"/>
          </w:tcPr>
          <w:p>
            <w:pPr>
              <w:jc w:val="cente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2600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《区块链技术基础与实战》</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936"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52</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shd w:val="clear"/>
              </w:rPr>
              <w:t>工业</w:t>
            </w:r>
            <w:r>
              <w:rPr>
                <w:rFonts w:hint="eastAsia" w:ascii="CESI仿宋-GB2312" w:hAnsi="CESI仿宋-GB2312" w:eastAsia="CESI仿宋-GB2312" w:cs="CESI仿宋-GB2312"/>
                <w:b/>
                <w:bCs/>
                <w:color w:val="auto"/>
                <w:sz w:val="21"/>
                <w:szCs w:val="21"/>
                <w:highlight w:val="none"/>
                <w:shd w:val="clear"/>
                <w:lang w:val="en-US" w:eastAsia="zh-CN"/>
              </w:rPr>
              <w:t>网络与</w:t>
            </w:r>
            <w:r>
              <w:rPr>
                <w:rFonts w:hint="eastAsia" w:ascii="CESI仿宋-GB2312" w:hAnsi="CESI仿宋-GB2312" w:eastAsia="CESI仿宋-GB2312" w:cs="CESI仿宋-GB2312"/>
                <w:b/>
                <w:bCs/>
                <w:color w:val="auto"/>
                <w:sz w:val="21"/>
                <w:szCs w:val="21"/>
                <w:highlight w:val="none"/>
                <w:shd w:val="clear"/>
              </w:rPr>
              <w:t>边缘计算</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74（实训学时不低于50%）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基础知识学习（包括边缘计算的基本概念与结构设计及基础知识，边缘计算卸载技术理论知识）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边缘计算资源管理技术学习</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边缘计算资源管理技术</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边缘计算移动性管理；实操：边缘计算开源平台实践，包括：Linux系统的基本概念和操作，linux操作系统的安装，微云elijah项目，EdgeX Foundry等实训内容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多接入边缘计算（理论）</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elijah平台工业物联网边缘计算实训</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EdgeX Foundry 平台工业物联网边缘计算实训</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M-CORD平台工业物联网边缘计算实训等实训课程。</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《边缘计算机原理与实践》</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9"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53</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AUTOSAR和汽车电子通信技术</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AUTOSAR入门基础；MCAL模块详解part1；MCAL模块详解part2；MCAL模块详解part3；汽车电子通信总线之CAN 2.0总线协议详解；汽车电子通信总线之LIN总线；道路车辆安全ISO26262标准详解。</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需新开发教材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5"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54</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综合布线系统安装与维护</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《综合布线系统安装与维护职业技能等级标准》要求开展培训。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《综合布线系统安装与维护》</w:t>
            </w:r>
          </w:p>
        </w:tc>
        <w:tc>
          <w:tcPr>
            <w:tcW w:w="523" w:type="dxa"/>
            <w:noWrap w:val="0"/>
            <w:vAlign w:val="center"/>
          </w:tcPr>
          <w:p>
            <w:pPr>
              <w:spacing w:line="200" w:lineRule="atLeast"/>
              <w:jc w:val="both"/>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40"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55</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高性能计算与先进计算</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HPC高性能计算发展历史；CPU体系架构概述；Linux远程作业环境；程序编译；算法流程剖析与性能分析实践；算法库介绍与基本优化技术；SIMD基本概念与编程入门；SIMD并行优化与进阶；OpenMP并行化技术与进阶；GEMM基本概念与性能优化；算子优化时间(sort, topk, Jacobi, StellarSim, Euler等)；高新能计算在工业互联网领域的应用。</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《高性能计算：现代系统与应用实践》托马斯·斯特林</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马修·安德森著 机械工业出版社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83"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56</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工业互联网总体规划与数据中心建设</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最新数据中心发展概况及特点；数据中心国家标准体系及最新标准动态；数据中心规划设计标准GB50174-2017的最新修编内容；数据中心规划设计的原则与程序；基于现在和未来的需求为关键任务的数据中心选择最优的场地；供配电系统、空调系统、消防系统、网络与布线系统、智能化系统等系统中各规划设计要点；机房容量管理；机房的标识系统；绿色数据中心的规划设计要点。国际标准专业知识；生产企业如何规划工业互联网架构和数据中心架构；CDCP系列全球认可；获得数据中心行业线上课程学习机会。</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《数据中心规划与设计》</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34"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57</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数据中心运行维护管理员</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国家职业分类大典、职业标准要求或者职业技能等级评价机构培训教材要求开展培训。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 xml:space="preserve">职业技能等级评级机构培训教材或符合国家职业分类大典或国家职业标准内容的教材 </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72" w:hRule="exact"/>
          <w:jc w:val="center"/>
        </w:trPr>
        <w:tc>
          <w:tcPr>
            <w:tcW w:w="329" w:type="dxa"/>
            <w:tcBorders>
              <w:bottom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58</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系统集成项目管理工程师</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掌握信息化基础知识、信息系统服务管理、信息系统集成专业技术、项目的立项管理、整体管理、范围管理、时间管理、成本管理、质量管理、人力资源管理、沟通管理、合同管理、采购管理、信息（文档）与配置管理、变更管理、安全管理、风险管理、收尾管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，知识产权管理、有关的法律法规和标准规范、职业道德规范和一些项目管理的案例分析。</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《系统集成项目管理工程师</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教程</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21" w:hRule="exact"/>
          <w:jc w:val="center"/>
        </w:trPr>
        <w:tc>
          <w:tcPr>
            <w:tcW w:w="329" w:type="dxa"/>
            <w:vMerge w:val="restart"/>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59</w:t>
            </w:r>
          </w:p>
        </w:tc>
        <w:tc>
          <w:tcPr>
            <w:tcW w:w="1177" w:type="dxa"/>
            <w:vMerge w:val="restart"/>
            <w:tcBorders>
              <w:top w:val="single" w:color="auto" w:sz="4" w:space="0"/>
            </w:tcBorders>
            <w:noWrap w:val="0"/>
            <w:vAlign w:val="center"/>
          </w:tcPr>
          <w:p>
            <w:pPr>
              <w:jc w:val="both"/>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工业互联网技术</w:t>
            </w:r>
          </w:p>
        </w:tc>
        <w:tc>
          <w:tcPr>
            <w:tcW w:w="1065" w:type="dxa"/>
            <w:vMerge w:val="restart"/>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lang w:eastAsia="zh-CN"/>
              </w:rPr>
              <w:t>工业互联网工程技术人员</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90（初级）（实训学时不低50%）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网络互联集成、工业设备数据采集、工业标识数据采集、安全防护实施、网络互联运维、工业数据采集系统运维、标识解析系统运维、工业互联网平台运维、安全防护运维、工业APP配置、工业APP应用、工业互联网标识解析服务应用、工业APP推广。</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Hans"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《工业互联网工程技术人员-工业互联网基础知识》中国人事出版社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70C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754"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bottom"/>
          </w:tcPr>
          <w:p>
            <w:pPr>
              <w:jc w:val="center"/>
              <w:rPr>
                <w:rFonts w:hint="eastAsia" w:ascii="CESI仿宋-GB2312" w:hAnsi="CESI仿宋-GB2312" w:eastAsia="CESI仿宋-GB2312" w:cs="CESI仿宋-GB2312"/>
                <w:b/>
                <w:bCs/>
                <w:color w:val="auto"/>
                <w:sz w:val="21"/>
                <w:szCs w:val="21"/>
                <w:highlight w:val="none"/>
                <w:lang w:eastAsia="zh-CN"/>
              </w:rPr>
            </w:pPr>
          </w:p>
        </w:tc>
        <w:tc>
          <w:tcPr>
            <w:tcW w:w="1065" w:type="dxa"/>
            <w:vMerge w:val="continue"/>
            <w:noWrap w:val="0"/>
            <w:vAlign w:val="center"/>
          </w:tcPr>
          <w:p>
            <w:pPr>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120（中级）（实训学时不低50%）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网络互联规划设计、工业设备数据采集规划设计、工业标识数据采集规划设计、工业数据存储规划设计、安全防护规划设计、工业互联网应用场景需求分析、网络互联集成、工业数据存储、安全防护集成、网络互联运维、标识解析系统运维、工业互联网平台运维、安全防护应用与运维、安全防护应用与运维、工业数据处理、工业大数据分析、工业数据管理、工业APP设计、工业APP开发、工业APP应用、工业互联网标识解析应用服务、平台推广、咨询服务。</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Hans"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《工业互联网工程技术人员-工业互联网基础知识》中国人事出版社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66" w:hRule="exact"/>
          <w:jc w:val="center"/>
        </w:trPr>
        <w:tc>
          <w:tcPr>
            <w:tcW w:w="329"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bottom"/>
          </w:tcPr>
          <w:p>
            <w:pPr>
              <w:jc w:val="center"/>
              <w:rPr>
                <w:rFonts w:hint="eastAsia" w:ascii="CESI仿宋-GB2312" w:hAnsi="CESI仿宋-GB2312" w:eastAsia="CESI仿宋-GB2312" w:cs="CESI仿宋-GB2312"/>
                <w:b/>
                <w:bCs/>
                <w:color w:val="auto"/>
                <w:sz w:val="21"/>
                <w:szCs w:val="21"/>
                <w:highlight w:val="none"/>
                <w:lang w:eastAsia="zh-CN"/>
              </w:rPr>
            </w:pPr>
          </w:p>
        </w:tc>
        <w:tc>
          <w:tcPr>
            <w:tcW w:w="1065" w:type="dxa"/>
            <w:vMerge w:val="continue"/>
            <w:noWrap w:val="0"/>
            <w:vAlign w:val="center"/>
          </w:tcPr>
          <w:p>
            <w:pPr>
              <w:rPr>
                <w:rFonts w:hint="eastAsia" w:ascii="CESI仿宋-GB2312" w:hAnsi="CESI仿宋-GB2312" w:eastAsia="CESI仿宋-GB2312" w:cs="CESI仿宋-GB2312"/>
                <w:b/>
                <w:bCs/>
                <w:color w:val="FF0000"/>
                <w:sz w:val="21"/>
                <w:szCs w:val="21"/>
                <w:highlight w:val="none"/>
              </w:rPr>
            </w:pP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120（高级）（实训学时不低50%）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网络互联规划设计、数据互通规划设计、安全防护规划设计、企业数字化转型规划、网络互联集成、数据互通集成、安全防护实施、工业大数据分析、工业数据管理、数据运营管理、标识解析数据共享服务、工业互联网平台架构研究与设计、工业互联网平台开发、标识解析系统架构研究与设计、标识解析系统开发、机理模型建模、行业算子库研发</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noWrap w:val="0"/>
            <w:vAlign w:val="center"/>
          </w:tcPr>
          <w:p>
            <w:pPr>
              <w:jc w:val="center"/>
              <w:rPr>
                <w:rFonts w:hint="default"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 xml:space="preserve"> </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70C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29" w:hRule="exact"/>
          <w:jc w:val="center"/>
        </w:trPr>
        <w:tc>
          <w:tcPr>
            <w:tcW w:w="329" w:type="dxa"/>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60</w:t>
            </w:r>
          </w:p>
        </w:tc>
        <w:tc>
          <w:tcPr>
            <w:tcW w:w="1177" w:type="dxa"/>
            <w:vMerge w:val="continue"/>
            <w:noWrap w:val="0"/>
            <w:vAlign w:val="bottom"/>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工业互联网产业化运营</w:t>
            </w:r>
          </w:p>
        </w:tc>
        <w:tc>
          <w:tcPr>
            <w:tcW w:w="1138" w:type="dxa"/>
            <w:tcBorders>
              <w:right w:val="single" w:color="auto" w:sz="4" w:space="0"/>
            </w:tcBorders>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14:textFill>
                  <w14:solidFill>
                    <w14:schemeClr w14:val="tx1"/>
                  </w14:solidFill>
                </w14:textFill>
              </w:rPr>
            </w:pPr>
            <w:r>
              <w:rPr>
                <w:rFonts w:hint="default" w:ascii="CESI仿宋-GB2312" w:hAnsi="CESI仿宋-GB2312" w:eastAsia="CESI仿宋-GB2312" w:cs="CESI仿宋-GB2312"/>
                <w:b/>
                <w:bCs/>
                <w:color w:val="000000" w:themeColor="text1"/>
                <w:sz w:val="21"/>
                <w:szCs w:val="21"/>
                <w:highlight w:val="none"/>
                <w:lang w:val="en-US"/>
                <w14:textFill>
                  <w14:solidFill>
                    <w14:schemeClr w14:val="tx1"/>
                  </w14:solidFill>
                </w14:textFill>
              </w:rPr>
              <w:t>80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工业互联网概述教学要点；工业互联网总体技术教学要点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；工</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业互联网基础技术教学要点；工业互联网应用技术教学要点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工业互联网与CPS、智能制造的关系教学要点；工业互联网应用解决方案教学要点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云制造教学要点；国内外主流工业互联网平台分析教学要点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熟悉工业互联网技术体系演进方向与未来前景</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熟悉工业互联网在推动产业变革的重要作用。</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14:textFill>
                  <w14:solidFill>
                    <w14:schemeClr w14:val="tx1"/>
                  </w14:solidFill>
                </w14:textFill>
              </w:rPr>
            </w:pPr>
            <w:r>
              <w:rPr>
                <w:rFonts w:hint="default" w:ascii="CESI仿宋-GB2312" w:hAnsi="CESI仿宋-GB2312" w:eastAsia="CESI仿宋-GB2312" w:cs="CESI仿宋-GB2312"/>
                <w:b/>
                <w:bCs/>
                <w:color w:val="000000" w:themeColor="text1"/>
                <w:sz w:val="21"/>
                <w:szCs w:val="21"/>
                <w:highlight w:val="none"/>
                <w:lang w:val="en-US"/>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《工业互联网：技术与实践（第2版）》魏毅寅、柴旭东著 电子工业出版社</w:t>
            </w:r>
          </w:p>
        </w:tc>
        <w:tc>
          <w:tcPr>
            <w:tcW w:w="523" w:type="dxa"/>
            <w:noWrap w:val="0"/>
            <w:vAlign w:val="center"/>
          </w:tcPr>
          <w:p>
            <w:pPr>
              <w:jc w:val="center"/>
              <w:rPr>
                <w:rFonts w:hint="eastAsia" w:ascii="CESI仿宋-GB2312" w:hAnsi="CESI仿宋-GB2312" w:eastAsia="CESI仿宋-GB2312" w:cs="CESI仿宋-GB2312"/>
                <w:b/>
                <w:bCs/>
                <w:color w:val="FF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42" w:hRule="exact"/>
          <w:jc w:val="center"/>
        </w:trPr>
        <w:tc>
          <w:tcPr>
            <w:tcW w:w="329" w:type="dxa"/>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61</w:t>
            </w:r>
          </w:p>
        </w:tc>
        <w:tc>
          <w:tcPr>
            <w:tcW w:w="1177" w:type="dxa"/>
            <w:vMerge w:val="continue"/>
            <w:noWrap w:val="0"/>
            <w:vAlign w:val="bottom"/>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物联网工程技术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auto"/>
                <w:sz w:val="21"/>
                <w:szCs w:val="21"/>
                <w:highlight w:val="none"/>
                <w:lang w:eastAsia="zh-CN"/>
              </w:rPr>
              <w:t>参照</w:t>
            </w:r>
            <w:r>
              <w:rPr>
                <w:rFonts w:hint="eastAsia" w:ascii="CESI仿宋-GB2312" w:hAnsi="CESI仿宋-GB2312" w:eastAsia="CESI仿宋-GB2312" w:cs="CESI仿宋-GB2312"/>
                <w:b/>
                <w:bCs/>
                <w:color w:val="auto"/>
                <w:sz w:val="21"/>
                <w:szCs w:val="21"/>
                <w:highlight w:val="none"/>
              </w:rPr>
              <w:t>国家职业分类大典、职业标准要求开展培训。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自编培训课件及资料</w:t>
            </w:r>
          </w:p>
        </w:tc>
        <w:tc>
          <w:tcPr>
            <w:tcW w:w="523" w:type="dxa"/>
            <w:noWrap w:val="0"/>
            <w:vAlign w:val="center"/>
          </w:tcPr>
          <w:p>
            <w:pPr>
              <w:jc w:val="center"/>
              <w:rPr>
                <w:rFonts w:hint="eastAsia" w:ascii="CESI仿宋-GB2312" w:hAnsi="CESI仿宋-GB2312" w:eastAsia="CESI仿宋-GB2312" w:cs="CESI仿宋-GB2312"/>
                <w:b/>
                <w:bCs/>
                <w:color w:val="FF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6" w:hRule="exact"/>
          <w:jc w:val="center"/>
        </w:trPr>
        <w:tc>
          <w:tcPr>
            <w:tcW w:w="329" w:type="dxa"/>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yellow"/>
                <w:lang w:val="en-US" w:eastAsia="zh-CN"/>
              </w:rPr>
            </w:pPr>
            <w:r>
              <w:rPr>
                <w:rFonts w:hint="eastAsia" w:ascii="CESI仿宋-GB2312" w:hAnsi="CESI仿宋-GB2312" w:eastAsia="CESI仿宋-GB2312" w:cs="CESI仿宋-GB2312"/>
                <w:b/>
                <w:bCs/>
                <w:color w:val="auto"/>
                <w:sz w:val="21"/>
                <w:szCs w:val="21"/>
                <w:highlight w:val="none"/>
                <w:lang w:val="en-US" w:eastAsia="zh-CN"/>
              </w:rPr>
              <w:t>62</w:t>
            </w:r>
          </w:p>
        </w:tc>
        <w:tc>
          <w:tcPr>
            <w:tcW w:w="1177" w:type="dxa"/>
            <w:vMerge w:val="continue"/>
            <w:noWrap w:val="0"/>
            <w:vAlign w:val="center"/>
          </w:tcPr>
          <w:p>
            <w:pPr>
              <w:rPr>
                <w:rFonts w:hint="eastAsia" w:ascii="CESI仿宋-GB2312" w:hAnsi="CESI仿宋-GB2312" w:eastAsia="CESI仿宋-GB2312" w:cs="CESI仿宋-GB2312"/>
                <w:b/>
                <w:bCs/>
                <w:color w:val="auto"/>
                <w:sz w:val="21"/>
                <w:szCs w:val="21"/>
                <w:highlight w:val="yellow"/>
              </w:rPr>
            </w:pPr>
          </w:p>
        </w:tc>
        <w:tc>
          <w:tcPr>
            <w:tcW w:w="1065" w:type="dxa"/>
            <w:noWrap w:val="0"/>
            <w:vAlign w:val="center"/>
          </w:tcPr>
          <w:p>
            <w:pPr>
              <w:rPr>
                <w:rFonts w:hint="eastAsia" w:ascii="CESI仿宋-GB2312" w:hAnsi="CESI仿宋-GB2312" w:eastAsia="CESI仿宋-GB2312" w:cs="CESI仿宋-GB2312"/>
                <w:b/>
                <w:bCs/>
                <w:color w:val="auto"/>
                <w:sz w:val="21"/>
                <w:szCs w:val="21"/>
                <w:highlight w:val="yellow"/>
              </w:rPr>
            </w:pPr>
            <w:r>
              <w:rPr>
                <w:rFonts w:hint="eastAsia" w:ascii="CESI仿宋-GB2312" w:hAnsi="CESI仿宋-GB2312" w:eastAsia="CESI仿宋-GB2312" w:cs="CESI仿宋-GB2312"/>
                <w:b/>
                <w:bCs/>
                <w:color w:val="auto"/>
                <w:sz w:val="21"/>
                <w:szCs w:val="21"/>
                <w:highlight w:val="none"/>
              </w:rPr>
              <w:t>工业互联网设备管理与智能诊断</w:t>
            </w:r>
          </w:p>
        </w:tc>
        <w:tc>
          <w:tcPr>
            <w:tcW w:w="1138" w:type="dxa"/>
            <w:tcBorders>
              <w:righ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面向重点产业集群的工业互联网重点领域的应用，了解TPM、TBM、CBM等维保管理策略，能根据任务要求完成构建设备模型数字化模型、设备点检数字化系统模拟流程、设备保养数字化系统模拟流程、设备维修数字化系统模拟流程，实训：基于机械故障综合仿真与预测维护教学实验台与PreMaint系统，模拟设备日常维保流程。</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4000</w:t>
            </w:r>
          </w:p>
        </w:tc>
        <w:tc>
          <w:tcPr>
            <w:tcW w:w="1380" w:type="dxa"/>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需新开发教材（深圳信息职业技术学院组织研制并计划出版的教材）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77" w:hRule="exact"/>
          <w:jc w:val="center"/>
        </w:trPr>
        <w:tc>
          <w:tcPr>
            <w:tcW w:w="329" w:type="dxa"/>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63</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低代码应用开发</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基本概念、模板样式设计、数据项、填写规范；组织机构与用户权限的设置；设计查询模板并能完成带参数的查询及模糊查询；填表公式的初级使用、业务公式的初级使用；数据源在填表公式业务公式的使用、统计报表。</w:t>
            </w:r>
          </w:p>
        </w:tc>
        <w:tc>
          <w:tcPr>
            <w:tcW w:w="537"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pStyle w:val="5"/>
              <w:widowControl/>
              <w:spacing w:before="0" w:beforeAutospacing="0" w:after="0" w:afterAutospacing="0"/>
              <w:jc w:val="center"/>
              <w:rPr>
                <w:rFonts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ascii="CESI仿宋-GB2312" w:hAnsi="CESI仿宋-GB2312" w:eastAsia="CESI仿宋-GB2312" w:cs="CESI仿宋-GB2312"/>
                <w:b/>
                <w:bCs/>
                <w:color w:val="000000" w:themeColor="text1"/>
                <w:sz w:val="21"/>
                <w:szCs w:val="21"/>
                <w:highlight w:val="none"/>
                <w14:textFill>
                  <w14:solidFill>
                    <w14:schemeClr w14:val="tx1"/>
                  </w14:solidFill>
                </w14:textFill>
              </w:rPr>
              <w:t>《无代码编程-用云表搭建企业数字化管理平台》电子工业出版社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98" w:hRule="exact"/>
          <w:jc w:val="center"/>
        </w:trPr>
        <w:tc>
          <w:tcPr>
            <w:tcW w:w="329" w:type="dxa"/>
            <w:tcBorders>
              <w:top w:val="single" w:color="auto" w:sz="4" w:space="0"/>
            </w:tcBorders>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64</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智能楼宇管理员</w:t>
            </w:r>
            <w:r>
              <w:rPr>
                <w:rFonts w:hint="eastAsia" w:ascii="CESI仿宋-GB2312" w:hAnsi="CESI仿宋-GB2312" w:eastAsia="CESI仿宋-GB2312" w:cs="CESI仿宋-GB2312"/>
                <w:b/>
                <w:bCs/>
                <w:color w:val="FF0000"/>
                <w:sz w:val="21"/>
                <w:szCs w:val="21"/>
                <w:highlight w:val="none"/>
              </w:rPr>
              <w:t xml:space="preserve"> </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pStyle w:val="2"/>
              <w:rPr>
                <w:rFonts w:hint="eastAsia"/>
                <w:color w:val="000000" w:themeColor="text1"/>
                <w14:textFill>
                  <w14:solidFill>
                    <w14:schemeClr w14:val="tx1"/>
                  </w14:solidFill>
                </w14:textFill>
              </w:rPr>
            </w:pPr>
            <w: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智能楼宇系统的运维和维护、数据分析与优化技术、安全管理与应急处理等。</w:t>
            </w:r>
          </w:p>
        </w:tc>
        <w:tc>
          <w:tcPr>
            <w:tcW w:w="537"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pStyle w:val="5"/>
              <w:widowControl/>
              <w:spacing w:before="0" w:beforeAutospacing="0" w:after="0" w:afterAutospacing="0"/>
              <w:jc w:val="center"/>
              <w:rPr>
                <w:rFonts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ascii="CESI仿宋-GB2312" w:hAnsi="CESI仿宋-GB2312" w:eastAsia="CESI仿宋-GB2312" w:cs="CESI仿宋-GB2312"/>
                <w:b/>
                <w:bCs/>
                <w:color w:val="000000" w:themeColor="text1"/>
                <w:sz w:val="21"/>
                <w:szCs w:val="21"/>
                <w:highlight w:val="none"/>
                <w14:textFill>
                  <w14:solidFill>
                    <w14:schemeClr w14:val="tx1"/>
                  </w14:solidFill>
                </w14:textFill>
              </w:rPr>
              <w:t xml:space="preserve"> 职业技能等级评级机构培训教材或符合国家职业分类大典或国家职业标准内容的教材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03" w:hRule="exact"/>
          <w:jc w:val="center"/>
        </w:trPr>
        <w:tc>
          <w:tcPr>
            <w:tcW w:w="329" w:type="dxa"/>
            <w:tcBorders>
              <w:top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65</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lang w:eastAsia="zh-Hans"/>
              </w:rPr>
              <w:t>工业互联网嵌入式开发</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80（实训学时不低于</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基于主流嵌入式硬件平台和操作系统的边缘计算产品应用软件设计和开发。嵌入式软硬件设备的安装与调试部署，嵌入式应用电路检测与调试，配置嵌入式应用开发环境，嵌入式系统移植，编写嵌入式应用程序，嵌入式应用程序测试，嵌入式应用系统运维与服务。</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《嵌入式系统设计与开发实践》</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清华大学出版社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55" w:hRule="exact"/>
          <w:jc w:val="center"/>
        </w:trPr>
        <w:tc>
          <w:tcPr>
            <w:tcW w:w="329" w:type="dxa"/>
            <w:tcBorders>
              <w:top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66</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工业互联网接入安装与调试</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工业互联网组成与结构、产品设备部署联网接入、设备安装调试、智能设备开关量控制、网关通讯设置、自组网搭建等。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工业互联网智能网关技术应用初级教程：西门子</w:t>
            </w: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》哈尔滨工业大学出版社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96" w:hRule="exact"/>
          <w:jc w:val="center"/>
        </w:trPr>
        <w:tc>
          <w:tcPr>
            <w:tcW w:w="329" w:type="dxa"/>
            <w:tcBorders>
              <w:top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67</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工业互联网规划设计</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学习理解如何搭建企业工业互联网数字结构、规划企业数字化转型的技术路线，以及制造企业如何运用工业互联网技术在数字化产品、数字化制造、数字化服务三个领域进行转型与升级。</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《智慧企业工业互联网平台开发与创新》机械工业出版社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31" w:hRule="exact"/>
          <w:jc w:val="center"/>
        </w:trPr>
        <w:tc>
          <w:tcPr>
            <w:tcW w:w="329" w:type="dxa"/>
            <w:tcBorders>
              <w:top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68</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大数据分析与数据挖掘</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大数据的核心理念，大数据精准营销，用户行为分析方法，搭建业务分析框架和模型，影响因素分析，产品销量预测模型，回归模型优化，客户行为预测模型，分类模型优化（集成方法），市场客户细分模型，数据预处理过程，产品推荐模型，客户价值分析，产品设计与优化，定价策略分析，大数据综合实战篇等。</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《大数据挖掘与统计机器学习》中国人民大学出版社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82" w:hRule="exact"/>
          <w:jc w:val="center"/>
        </w:trPr>
        <w:tc>
          <w:tcPr>
            <w:tcW w:w="329" w:type="dxa"/>
            <w:tcBorders>
              <w:top w:val="single" w:color="auto" w:sz="4" w:space="0"/>
            </w:tcBorders>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69</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rPr>
              <w:t>工业互联网</w:t>
            </w:r>
            <w:r>
              <w:rPr>
                <w:rFonts w:hint="eastAsia" w:ascii="CESI仿宋-GB2312" w:hAnsi="CESI仿宋-GB2312" w:eastAsia="CESI仿宋-GB2312" w:cs="CESI仿宋-GB2312"/>
                <w:b/>
                <w:bCs/>
                <w:color w:val="auto"/>
                <w:sz w:val="21"/>
                <w:szCs w:val="21"/>
                <w:highlight w:val="none"/>
                <w:lang w:val="en-US" w:eastAsia="zh-CN"/>
              </w:rPr>
              <w:t>解决方案设计</w:t>
            </w:r>
          </w:p>
          <w:p>
            <w:pPr>
              <w:jc w:val="left"/>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于</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面向行业的新应用软件研发、成熟应用软件云化</w:t>
            </w:r>
          </w:p>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部署开发、系统集成、整体解决方案开发。</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工业互联网：技术、实践与行业解决方案</w:t>
            </w:r>
            <w:r>
              <w:rPr>
                <w:rFonts w:hint="eastAsia" w:ascii="CESI仿宋-GB2312" w:hAnsi="CESI仿宋-GB2312" w:eastAsia="CESI仿宋-GB2312" w:cs="CESI仿宋-GB2312"/>
                <w:b/>
                <w:bCs/>
                <w:color w:val="000000" w:themeColor="text1"/>
                <w:sz w:val="21"/>
                <w:szCs w:val="21"/>
                <w:highlight w:val="none"/>
                <w:lang w:eastAsia="zh-Hans"/>
                <w14:textFill>
                  <w14:solidFill>
                    <w14:schemeClr w14:val="tx1"/>
                  </w14:solidFill>
                </w14:textFill>
              </w:rPr>
              <w:t>》电子工业出版社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6" w:hRule="exact"/>
          <w:jc w:val="center"/>
        </w:trPr>
        <w:tc>
          <w:tcPr>
            <w:tcW w:w="329"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70</w:t>
            </w:r>
          </w:p>
        </w:tc>
        <w:tc>
          <w:tcPr>
            <w:tcW w:w="1177" w:type="dxa"/>
            <w:vMerge w:val="restart"/>
            <w:tcBorders>
              <w:top w:val="single" w:color="auto" w:sz="4" w:space="0"/>
            </w:tcBorders>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虚拟现实技术</w:t>
            </w: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元宇宙技术应用</w:t>
            </w:r>
          </w:p>
        </w:tc>
        <w:tc>
          <w:tcPr>
            <w:tcW w:w="1138" w:type="dxa"/>
            <w:tcBorders>
              <w:right w:val="single" w:color="auto" w:sz="4" w:space="0"/>
            </w:tcBorders>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产业元宇宙概述、生态全景展望、生态平台解读、行业应用以及发展挑战、趋势与应对</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等。</w:t>
            </w:r>
          </w:p>
        </w:tc>
        <w:tc>
          <w:tcPr>
            <w:tcW w:w="537" w:type="dxa"/>
            <w:noWrap w:val="0"/>
            <w:vAlign w:val="center"/>
          </w:tcPr>
          <w:p>
            <w:pPr>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2000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《产业元宇宙》陶大程，赖家材等著 人民出版社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04" w:hRule="exact"/>
          <w:jc w:val="center"/>
        </w:trPr>
        <w:tc>
          <w:tcPr>
            <w:tcW w:w="329"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71</w:t>
            </w:r>
          </w:p>
        </w:tc>
        <w:tc>
          <w:tcPr>
            <w:tcW w:w="1177"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虚拟现实工程技术</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国家职业分类大典、职业标准要求开展培训。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需新开发教材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17"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72</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Unity3D软件应用与开发</w:t>
            </w:r>
          </w:p>
        </w:tc>
        <w:tc>
          <w:tcPr>
            <w:tcW w:w="1138" w:type="dxa"/>
            <w:tcBorders>
              <w:right w:val="single" w:color="auto" w:sz="4" w:space="0"/>
            </w:tcBorders>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虚拟现实产业发展趋势；C#语言基础讲解；搭建基本的Unity3D场景；资源导入和导出流程；粒子和动画系统；Unity3D脚本开发基础；Unity3D物理系统；光影效果的使用。</w:t>
            </w:r>
          </w:p>
        </w:tc>
        <w:tc>
          <w:tcPr>
            <w:tcW w:w="537"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5000</w:t>
            </w:r>
          </w:p>
        </w:tc>
        <w:tc>
          <w:tcPr>
            <w:tcW w:w="1380"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自编培训课件及资料</w:t>
            </w:r>
          </w:p>
        </w:tc>
        <w:tc>
          <w:tcPr>
            <w:tcW w:w="523" w:type="dxa"/>
            <w:noWrap w:val="0"/>
            <w:vAlign w:val="center"/>
          </w:tcPr>
          <w:p>
            <w:pPr>
              <w:spacing w:line="200" w:lineRule="atLeast"/>
              <w:rPr>
                <w:rFonts w:hint="eastAsia" w:ascii="CESI仿宋-GB2312" w:hAnsi="CESI仿宋-GB2312" w:eastAsia="CESI仿宋-GB2312" w:cs="CESI仿宋-GB2312"/>
                <w:b/>
                <w:bCs/>
                <w:color w:val="FF000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2"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73</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数字人技术及应用</w:t>
            </w:r>
          </w:p>
        </w:tc>
        <w:tc>
          <w:tcPr>
            <w:tcW w:w="1138" w:type="dxa"/>
            <w:tcBorders>
              <w:right w:val="single" w:color="auto" w:sz="4" w:space="0"/>
            </w:tcBorders>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pStyle w:val="2"/>
              <w:rPr>
                <w:rFonts w:hint="eastAsia"/>
              </w:rPr>
            </w:pPr>
            <w:r>
              <w:rPr>
                <w:rFonts w:hint="eastAsia" w:ascii="CESI仿宋-GB2312" w:hAnsi="CESI仿宋-GB2312" w:eastAsia="CESI仿宋-GB2312" w:cs="CESI仿宋-GB2312"/>
                <w:b/>
                <w:bCs/>
                <w:color w:val="000000" w:themeColor="text1"/>
                <w:kern w:val="2"/>
                <w:sz w:val="21"/>
                <w:szCs w:val="21"/>
                <w:highlight w:val="none"/>
                <w:shd w:val="clear" w:color="auto" w:fill="auto"/>
                <w:lang w:val="en-US" w:eastAsia="zh-CN" w:bidi="ar-SA"/>
                <w14:textFill>
                  <w14:solidFill>
                    <w14:schemeClr w14:val="tx1"/>
                  </w14:solidFill>
                </w14:textFill>
              </w:rPr>
              <w:t>虚拟数字人简史；虚拟数字人产业视图；虚拟偶像促成千亿级别市场；场景应用；虚拟数字人3.0的核心技术框架</w:t>
            </w:r>
            <w: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t>；下一站：元宇宙等内容。</w:t>
            </w:r>
          </w:p>
        </w:tc>
        <w:tc>
          <w:tcPr>
            <w:tcW w:w="537" w:type="dxa"/>
            <w:noWrap w:val="0"/>
            <w:vAlign w:val="center"/>
          </w:tcPr>
          <w:p>
            <w:pPr>
              <w:spacing w:line="200" w:lineRule="atLeast"/>
              <w:jc w:val="center"/>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3500</w:t>
            </w:r>
          </w:p>
        </w:tc>
        <w:tc>
          <w:tcPr>
            <w:tcW w:w="1380"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《虚拟数字人3.0》陈龙强，张丽锦著 中译出版社</w:t>
            </w:r>
          </w:p>
        </w:tc>
        <w:tc>
          <w:tcPr>
            <w:tcW w:w="523" w:type="dxa"/>
            <w:noWrap w:val="0"/>
            <w:vAlign w:val="center"/>
          </w:tcPr>
          <w:p>
            <w:pPr>
              <w:spacing w:line="200" w:lineRule="atLeast"/>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26" w:hRule="exact"/>
          <w:jc w:val="center"/>
        </w:trPr>
        <w:tc>
          <w:tcPr>
            <w:tcW w:w="329"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74</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虚拟现实基础与实战</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80（实训学时不低于50%）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原生VR app开发；VR电影的录制；VR web开发；拼合、调色、字幕、跟踪、稳定、换天、粒子，经典中级合成难题。</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3500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《虚拟现实基础与实战》化学工业出版社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1" w:hRule="exact"/>
          <w:jc w:val="center"/>
        </w:trPr>
        <w:tc>
          <w:tcPr>
            <w:tcW w:w="329"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75</w:t>
            </w:r>
          </w:p>
        </w:tc>
        <w:tc>
          <w:tcPr>
            <w:tcW w:w="1177"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特种作业与安全作业</w:t>
            </w:r>
          </w:p>
        </w:tc>
        <w:tc>
          <w:tcPr>
            <w:tcW w:w="1065" w:type="dxa"/>
            <w:noWrap w:val="0"/>
            <w:vAlign w:val="center"/>
          </w:tcPr>
          <w:p>
            <w:pPr>
              <w:jc w:val="left"/>
              <w:rPr>
                <w:rFonts w:hint="eastAsia" w:ascii="CESI仿宋-GB2312" w:hAnsi="CESI仿宋-GB2312" w:eastAsia="CESI仿宋-GB2312" w:cs="CESI仿宋-GB2312"/>
                <w:b/>
                <w:bCs/>
                <w:color w:val="FF0000"/>
                <w:sz w:val="21"/>
                <w:szCs w:val="21"/>
                <w:highlight w:val="none"/>
              </w:rPr>
            </w:pPr>
            <w:r>
              <w:rPr>
                <w:rFonts w:hint="eastAsia" w:ascii="CESI仿宋-GB2312" w:hAnsi="CESI仿宋-GB2312" w:eastAsia="CESI仿宋-GB2312" w:cs="CESI仿宋-GB2312"/>
                <w:b/>
                <w:bCs/>
                <w:color w:val="auto"/>
                <w:sz w:val="21"/>
                <w:szCs w:val="21"/>
                <w:highlight w:val="none"/>
              </w:rPr>
              <w:t>低压电工作业人员安全技术</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不低于148学时（实训学时不低于60学时）</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按深圳市特种作业人员操作证考核要求进行培训。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1600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特种作业人员安全技术培训考试系列配套教材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88" w:hRule="exact"/>
          <w:jc w:val="center"/>
        </w:trPr>
        <w:tc>
          <w:tcPr>
            <w:tcW w:w="329" w:type="dxa"/>
            <w:noWrap w:val="0"/>
            <w:vAlign w:val="center"/>
          </w:tcPr>
          <w:p>
            <w:pPr>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76</w:t>
            </w:r>
          </w:p>
        </w:tc>
        <w:tc>
          <w:tcPr>
            <w:tcW w:w="1177" w:type="dxa"/>
            <w:vMerge w:val="continue"/>
            <w:noWrap w:val="0"/>
            <w:vAlign w:val="center"/>
          </w:tcPr>
          <w:p>
            <w:pPr>
              <w:jc w:val="left"/>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left"/>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高处安装、维护、拆除作业人员安全技术</w:t>
            </w:r>
          </w:p>
        </w:tc>
        <w:tc>
          <w:tcPr>
            <w:tcW w:w="1138" w:type="dxa"/>
            <w:tcBorders>
              <w:righ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不低于100学时（实训学时不低于54学时）</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按深圳市特种作业人员操作证考核要求进行培训。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1300</w:t>
            </w:r>
          </w:p>
        </w:tc>
        <w:tc>
          <w:tcPr>
            <w:tcW w:w="1380" w:type="dxa"/>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特种作业人员安全技术培训考试系列配套教材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89"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77</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熔化焊接与热切割    作业人员安全技术</w:t>
            </w:r>
          </w:p>
        </w:tc>
        <w:tc>
          <w:tcPr>
            <w:tcW w:w="1138" w:type="dxa"/>
            <w:tcBorders>
              <w:right w:val="single" w:color="auto" w:sz="4" w:space="0"/>
            </w:tcBorders>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不低于100学时（实训学时不低于40学时）</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按深圳市特种作业人员操作证考核要求进行培训。</w:t>
            </w:r>
          </w:p>
        </w:tc>
        <w:tc>
          <w:tcPr>
            <w:tcW w:w="537"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2200</w:t>
            </w:r>
          </w:p>
        </w:tc>
        <w:tc>
          <w:tcPr>
            <w:tcW w:w="1380"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特种作业人员安全技术培训考试系列配套教材</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23"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78</w:t>
            </w:r>
          </w:p>
        </w:tc>
        <w:tc>
          <w:tcPr>
            <w:tcW w:w="1177" w:type="dxa"/>
            <w:vMerge w:val="restart"/>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南粤家政与粤菜师傅</w:t>
            </w: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粤菜师傅系列-潮式卤味制作</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58"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79</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粤菜师傅系列-客家风味菜烹饪</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00"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80</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粤菜师傅系列-广府风味菜烹饪</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88"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81</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粤菜师傅系列-广式点心制作</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03"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82</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粤菜师傅系列-潮式风味菜烹饪</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4"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83</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南粤家政-家政服务员</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1000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26"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84</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南粤家政-养老护理员</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1000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48"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85</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南粤家政-母婴护理员</w:t>
            </w:r>
          </w:p>
          <w:p>
            <w:pPr>
              <w:jc w:val="center"/>
              <w:rPr>
                <w:rFonts w:hint="eastAsia" w:ascii="CESI仿宋-GB2312" w:hAnsi="CESI仿宋-GB2312" w:eastAsia="CESI仿宋-GB2312" w:cs="CESI仿宋-GB2312"/>
                <w:b/>
                <w:bCs/>
                <w:color w:val="auto"/>
                <w:kern w:val="2"/>
                <w:sz w:val="21"/>
                <w:szCs w:val="21"/>
                <w:highlight w:val="none"/>
                <w:lang w:val="en-US" w:eastAsia="zh-CN" w:bidi="ar-SA"/>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60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省专项职业能力考核</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规范</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1000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3" w:hRule="exact"/>
          <w:jc w:val="center"/>
        </w:trPr>
        <w:tc>
          <w:tcPr>
            <w:tcW w:w="329" w:type="dxa"/>
            <w:vMerge w:val="restart"/>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86</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rPr>
              <w:t>南粤家政-</w:t>
            </w:r>
            <w:r>
              <w:rPr>
                <w:rFonts w:hint="eastAsia" w:ascii="CESI仿宋-GB2312" w:hAnsi="CESI仿宋-GB2312" w:eastAsia="CESI仿宋-GB2312" w:cs="CESI仿宋-GB2312"/>
                <w:b/>
                <w:bCs/>
                <w:color w:val="auto"/>
                <w:sz w:val="21"/>
                <w:szCs w:val="21"/>
                <w:highlight w:val="none"/>
                <w:lang w:eastAsia="zh-CN"/>
              </w:rPr>
              <w:t>保</w:t>
            </w:r>
            <w:r>
              <w:rPr>
                <w:rFonts w:hint="eastAsia" w:ascii="CESI仿宋-GB2312" w:hAnsi="CESI仿宋-GB2312" w:eastAsia="CESI仿宋-GB2312" w:cs="CESI仿宋-GB2312"/>
                <w:b/>
                <w:bCs/>
                <w:color w:val="auto"/>
                <w:sz w:val="21"/>
                <w:szCs w:val="21"/>
                <w:highlight w:val="none"/>
              </w:rPr>
              <w:t>育</w:t>
            </w:r>
            <w:r>
              <w:rPr>
                <w:rFonts w:hint="eastAsia" w:ascii="CESI仿宋-GB2312" w:hAnsi="CESI仿宋-GB2312" w:eastAsia="CESI仿宋-GB2312" w:cs="CESI仿宋-GB2312"/>
                <w:b/>
                <w:bCs/>
                <w:color w:val="auto"/>
                <w:sz w:val="21"/>
                <w:szCs w:val="21"/>
                <w:highlight w:val="none"/>
                <w:lang w:eastAsia="zh-CN"/>
              </w:rPr>
              <w:t>师</w:t>
            </w:r>
          </w:p>
          <w:p>
            <w:pPr>
              <w:jc w:val="center"/>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60（五级）（实训学时不低于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参照国家职业标准</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1760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43" w:hRule="exact"/>
          <w:jc w:val="center"/>
        </w:trPr>
        <w:tc>
          <w:tcPr>
            <w:tcW w:w="329" w:type="dxa"/>
            <w:vMerge w:val="continue"/>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60（四级）（实训学时不低于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参照国家职业标准</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1760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3" w:hRule="exact"/>
          <w:jc w:val="center"/>
        </w:trPr>
        <w:tc>
          <w:tcPr>
            <w:tcW w:w="329" w:type="dxa"/>
            <w:vMerge w:val="continue"/>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80（三级）（实训学时不低于</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50</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参照国家职业标准</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2420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38" w:hRule="exact"/>
          <w:jc w:val="center"/>
        </w:trPr>
        <w:tc>
          <w:tcPr>
            <w:tcW w:w="329" w:type="dxa"/>
            <w:vMerge w:val="restart"/>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87</w:t>
            </w:r>
          </w:p>
        </w:tc>
        <w:tc>
          <w:tcPr>
            <w:tcW w:w="1177" w:type="dxa"/>
            <w:vMerge w:val="restart"/>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业务培训</w:t>
            </w:r>
          </w:p>
        </w:tc>
        <w:tc>
          <w:tcPr>
            <w:tcW w:w="1065" w:type="dxa"/>
            <w:vMerge w:val="restart"/>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val="en-US" w:eastAsia="zh-CN"/>
              </w:rPr>
              <w:t>职业培训师</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150（三级）</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2000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alibri" w:hAnsi="Calibri" w:eastAsia="宋体" w:cs="Times New Roman"/>
                <w:color w:val="auto"/>
                <w:kern w:val="2"/>
                <w:sz w:val="32"/>
                <w:szCs w:val="24"/>
                <w:lang w:val="en-US" w:eastAsia="zh-CN" w:bidi="ar-SA"/>
              </w:rPr>
            </w:pPr>
            <w:r>
              <w:rPr>
                <w:rFonts w:hint="eastAsia" w:ascii="CESI仿宋-GB2312" w:hAnsi="CESI仿宋-GB2312" w:eastAsia="CESI仿宋-GB2312" w:cs="CESI仿宋-GB2312"/>
                <w:b/>
                <w:bCs/>
                <w:color w:val="auto"/>
                <w:sz w:val="21"/>
                <w:szCs w:val="21"/>
                <w:highlight w:val="none"/>
                <w:lang w:eastAsia="zh-CN"/>
              </w:rPr>
              <w:t>参照省补贴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93" w:hRule="exact"/>
          <w:jc w:val="center"/>
        </w:trPr>
        <w:tc>
          <w:tcPr>
            <w:tcW w:w="329" w:type="dxa"/>
            <w:vMerge w:val="continue"/>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120（二级）</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2500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auto"/>
                <w:sz w:val="21"/>
                <w:szCs w:val="21"/>
                <w:highlight w:val="none"/>
                <w:lang w:eastAsia="zh-CN"/>
              </w:rPr>
            </w:pPr>
            <w:r>
              <w:rPr>
                <w:rFonts w:hint="eastAsia" w:ascii="CESI仿宋-GB2312" w:hAnsi="CESI仿宋-GB2312" w:eastAsia="CESI仿宋-GB2312" w:cs="CESI仿宋-GB2312"/>
                <w:b/>
                <w:bCs/>
                <w:color w:val="auto"/>
                <w:sz w:val="21"/>
                <w:szCs w:val="21"/>
                <w:highlight w:val="none"/>
                <w:lang w:eastAsia="zh-CN"/>
              </w:rPr>
              <w:t>参照省补贴</w:t>
            </w:r>
          </w:p>
          <w:p>
            <w:pPr>
              <w:jc w:val="center"/>
              <w:rPr>
                <w:rFonts w:hint="eastAsia" w:ascii="CESI仿宋-GB2312" w:hAnsi="CESI仿宋-GB2312" w:eastAsia="CESI仿宋-GB2312" w:cs="CESI仿宋-GB2312"/>
                <w:b/>
                <w:bCs/>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8" w:hRule="exact"/>
          <w:jc w:val="center"/>
        </w:trPr>
        <w:tc>
          <w:tcPr>
            <w:tcW w:w="329" w:type="dxa"/>
            <w:vMerge w:val="continue"/>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vMerge w:val="continue"/>
            <w:noWrap w:val="0"/>
            <w:vAlign w:val="center"/>
          </w:tcPr>
          <w:p>
            <w:pPr>
              <w:jc w:val="center"/>
              <w:rPr>
                <w:rFonts w:hint="eastAsia" w:ascii="CESI仿宋-GB2312" w:hAnsi="CESI仿宋-GB2312" w:eastAsia="CESI仿宋-GB2312" w:cs="CESI仿宋-GB2312"/>
                <w:b/>
                <w:bCs/>
                <w:color w:val="auto"/>
                <w:sz w:val="21"/>
                <w:szCs w:val="21"/>
                <w:highlight w:val="none"/>
              </w:rPr>
            </w:pP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90（一级）</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参照国家</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职业标准要求进行培训。</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3000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考证所需统一教材</w:t>
            </w:r>
          </w:p>
        </w:tc>
        <w:tc>
          <w:tcPr>
            <w:tcW w:w="523" w:type="dxa"/>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eastAsia="zh-CN"/>
              </w:rPr>
              <w:t>参照省补贴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97"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88</w:t>
            </w:r>
          </w:p>
        </w:tc>
        <w:tc>
          <w:tcPr>
            <w:tcW w:w="1177" w:type="dxa"/>
            <w:vMerge w:val="continue"/>
            <w:noWrap w:val="0"/>
            <w:vAlign w:val="center"/>
          </w:tcPr>
          <w:p>
            <w:pPr>
              <w:spacing w:line="200" w:lineRule="atLeast"/>
              <w:jc w:val="center"/>
              <w:rPr>
                <w:rFonts w:hint="eastAsia" w:ascii="CESI仿宋-GB2312" w:hAnsi="CESI仿宋-GB2312" w:eastAsia="CESI仿宋-GB2312" w:cs="CESI仿宋-GB2312"/>
                <w:b/>
                <w:bCs/>
                <w:color w:val="auto"/>
                <w:sz w:val="21"/>
                <w:szCs w:val="21"/>
                <w:highlight w:val="none"/>
              </w:rPr>
            </w:pPr>
          </w:p>
        </w:tc>
        <w:tc>
          <w:tcPr>
            <w:tcW w:w="1065" w:type="dxa"/>
            <w:noWrap w:val="0"/>
            <w:vAlign w:val="center"/>
          </w:tcPr>
          <w:p>
            <w:pPr>
              <w:jc w:val="center"/>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lang w:eastAsia="zh-CN"/>
              </w:rPr>
              <w:t>数字化营销技术</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p>
        </w:tc>
        <w:tc>
          <w:tcPr>
            <w:tcW w:w="4962" w:type="dxa"/>
            <w:tcBorders>
              <w:lef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营销和服务理论体系的创新、数字化工具和产品的创新、价值评估体系的创新和支撑体系的创新，理论体系、业务模式、价值产出、数字化工具等</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方面</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数字化时代的营销，以及服务数字化创新和转型。</w:t>
            </w:r>
          </w:p>
        </w:tc>
        <w:tc>
          <w:tcPr>
            <w:tcW w:w="537"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2400</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《营销和服务数字化转型 : CRM3.0时代的来临》杨峻著 中国科学技术出版社</w:t>
            </w:r>
          </w:p>
        </w:tc>
        <w:tc>
          <w:tcPr>
            <w:tcW w:w="523" w:type="dxa"/>
            <w:noWrap w:val="0"/>
            <w:vAlign w:val="center"/>
          </w:tcPr>
          <w:p>
            <w:pPr>
              <w:jc w:val="center"/>
              <w:rPr>
                <w:rFonts w:hint="eastAsia" w:ascii="CESI仿宋-GB2312" w:hAnsi="CESI仿宋-GB2312" w:eastAsia="CESI仿宋-GB2312" w:cs="CESI仿宋-GB2312"/>
                <w:b/>
                <w:bCs/>
                <w:color w:val="0070C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6" w:hRule="exact"/>
          <w:jc w:val="center"/>
        </w:trPr>
        <w:tc>
          <w:tcPr>
            <w:tcW w:w="11111" w:type="dxa"/>
            <w:gridSpan w:val="8"/>
            <w:noWrap w:val="0"/>
            <w:vAlign w:val="center"/>
          </w:tcPr>
          <w:p>
            <w:pPr>
              <w:jc w:val="center"/>
              <w:rPr>
                <w:rFonts w:hint="eastAsia" w:ascii="CESI仿宋-GB2312" w:hAnsi="CESI仿宋-GB2312" w:eastAsia="CESI仿宋-GB2312" w:cs="CESI仿宋-GB2312"/>
                <w:b/>
                <w:bCs/>
                <w:color w:val="0070C0"/>
                <w:sz w:val="21"/>
                <w:szCs w:val="21"/>
                <w:highlight w:val="none"/>
                <w:lang w:val="en-US" w:eastAsia="zh-CN"/>
              </w:rPr>
            </w:pPr>
            <w:r>
              <w:rPr>
                <w:rFonts w:hint="eastAsia" w:ascii="CESI仿宋-GB2312" w:hAnsi="CESI仿宋-GB2312" w:eastAsia="CESI仿宋-GB2312" w:cs="CESI仿宋-GB2312"/>
                <w:b/>
                <w:color w:val="auto"/>
                <w:sz w:val="21"/>
                <w:szCs w:val="21"/>
                <w:highlight w:val="none"/>
              </w:rPr>
              <w:t>二、企业管理培训类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22"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89</w:t>
            </w:r>
          </w:p>
        </w:tc>
        <w:tc>
          <w:tcPr>
            <w:tcW w:w="2242" w:type="dxa"/>
            <w:gridSpan w:val="2"/>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val="en-US" w:eastAsia="zh-CN"/>
              </w:rPr>
              <w:t>企业基层管理人员培训</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16</w:t>
            </w:r>
          </w:p>
        </w:tc>
        <w:tc>
          <w:tcPr>
            <w:tcW w:w="5499" w:type="dxa"/>
            <w:gridSpan w:val="2"/>
            <w:tcBorders>
              <w:top w:val="single" w:color="auto" w:sz="4" w:space="0"/>
              <w:lef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培训项目内容：（每个项目须独立办班）</w:t>
            </w:r>
          </w:p>
          <w:p>
            <w:pPr>
              <w:jc w:val="left"/>
              <w:rPr>
                <w:rFonts w:hint="default"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（1）员工关系管理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：工作关系处理的重要性、员工态度技能盘点、绩效差的员工行为识别、不同类型员工管理方式</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jc w:val="left"/>
              <w:rPr>
                <w:rFonts w:hint="eastAsia" w:ascii="CESI仿宋-GB2312" w:hAnsi="CESI仿宋-GB2312" w:eastAsia="CESI仿宋-GB2312" w:cs="CESI仿宋-GB2312"/>
                <w:b/>
                <w:bCs/>
                <w:color w:val="000000" w:themeColor="text1"/>
                <w:sz w:val="21"/>
                <w:szCs w:val="21"/>
                <w:highlight w:val="none"/>
                <w:lang w:val="en-US"/>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（2）企业班组长培训</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：现场管理的资源、现场管理的目标、班组长管理角色的转换、班组长应具备的态度</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jc w:val="left"/>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（3）压力与情绪管理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：压力的积极作用、压力带来的影响、压力诊断、如何压力管理、情绪管理的重要性、情绪管理四步法</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（4）团队建设与沟通管理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：团队</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与</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团队精神、团队合作体验及案例分享、沙盘模拟（齐心协力，共创佳绩｝、小组分享（团队协作体验收获及案例分享）、沟通的几个重要观念、沟通的漏斗</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补贴标准不超过500元/人/次。</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个性化定制教材</w:t>
            </w:r>
          </w:p>
        </w:tc>
        <w:tc>
          <w:tcPr>
            <w:tcW w:w="523" w:type="dxa"/>
            <w:noWrap w:val="0"/>
            <w:vAlign w:val="center"/>
          </w:tcPr>
          <w:p>
            <w:pPr>
              <w:jc w:val="center"/>
              <w:rPr>
                <w:rFonts w:hint="eastAsia" w:ascii="CESI仿宋-GB2312" w:hAnsi="CESI仿宋-GB2312" w:eastAsia="CESI仿宋-GB2312" w:cs="CESI仿宋-GB2312"/>
                <w:b/>
                <w:bCs/>
                <w:color w:val="0070C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346"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90</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企业中层管理人员培训</w:t>
            </w:r>
          </w:p>
        </w:tc>
        <w:tc>
          <w:tcPr>
            <w:tcW w:w="1138" w:type="dxa"/>
            <w:tcBorders>
              <w:right w:val="single" w:color="auto" w:sz="4" w:space="0"/>
            </w:tcBorders>
            <w:noWrap w:val="0"/>
            <w:vAlign w:val="center"/>
          </w:tcPr>
          <w:p>
            <w:pPr>
              <w:ind w:firstLine="1891" w:firstLineChars="900"/>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440</w:t>
            </w:r>
          </w:p>
        </w:tc>
        <w:tc>
          <w:tcPr>
            <w:tcW w:w="5499" w:type="dxa"/>
            <w:gridSpan w:val="2"/>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培训项目内容：（每个项目须独立办班）。</w:t>
            </w:r>
          </w:p>
          <w:p>
            <w:pPr>
              <w:jc w:val="left"/>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（1）制造业项目管理技能提升</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问题分析与解决</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、精细化管理赋能、品质管理革新工具应用</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ind w:firstLine="0" w:firstLineChars="0"/>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（2）企业危机管理</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危机产生的根源、如何发现危机的先兆、危机与有效公关等。</w:t>
            </w:r>
          </w:p>
          <w:p>
            <w:pPr>
              <w:jc w:val="left"/>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（3）创建高效团队-沙盘模拟</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建立信任</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、掌握冲突、兑现承诺、共担责任、关注结果</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jc w:val="left"/>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（4）企业培训师商务谈判与礼俗</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商务形象塑造</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、商务会面礼仪、商务接待礼仪、商务宴请礼仪</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ind w:firstLine="0" w:firstLineChars="0"/>
              <w:jc w:val="left"/>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（5）领导力与执行力</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DISC 性格领导力</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、执行力要素执行过程管理</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p>
          <w:p>
            <w:pPr>
              <w:ind w:firstLine="0" w:firstLineChars="0"/>
              <w:jc w:val="left"/>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（6）高效团队建设</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：高效团队建设的五部曲、团队人尽其才、团队冲突的处理方式、团队不同成员的激励方式</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等</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w:t>
            </w:r>
          </w:p>
          <w:p>
            <w:pPr>
              <w:ind w:firstLine="0" w:firstLineChars="0"/>
              <w:jc w:val="cente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补贴标准不超过2000元/人/次。</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个性化定制教材</w:t>
            </w:r>
          </w:p>
        </w:tc>
        <w:tc>
          <w:tcPr>
            <w:tcW w:w="523" w:type="dxa"/>
            <w:noWrap w:val="0"/>
            <w:vAlign w:val="center"/>
          </w:tcPr>
          <w:p>
            <w:pPr>
              <w:jc w:val="center"/>
              <w:rPr>
                <w:rFonts w:hint="eastAsia" w:ascii="CESI仿宋-GB2312" w:hAnsi="CESI仿宋-GB2312" w:eastAsia="CESI仿宋-GB2312" w:cs="CESI仿宋-GB2312"/>
                <w:b/>
                <w:bCs/>
                <w:color w:val="0070C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4"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sz w:val="21"/>
                <w:szCs w:val="21"/>
                <w:highlight w:val="none"/>
                <w:lang w:val="en-US" w:eastAsia="zh-CN"/>
              </w:rPr>
            </w:pPr>
            <w:r>
              <w:rPr>
                <w:rFonts w:hint="eastAsia" w:ascii="CESI仿宋-GB2312" w:hAnsi="CESI仿宋-GB2312" w:eastAsia="CESI仿宋-GB2312" w:cs="CESI仿宋-GB2312"/>
                <w:b/>
                <w:bCs/>
                <w:color w:val="auto"/>
                <w:sz w:val="21"/>
                <w:szCs w:val="21"/>
                <w:highlight w:val="none"/>
                <w:lang w:val="en-US" w:eastAsia="zh-CN"/>
              </w:rPr>
              <w:t>91</w:t>
            </w:r>
          </w:p>
        </w:tc>
        <w:tc>
          <w:tcPr>
            <w:tcW w:w="2242" w:type="dxa"/>
            <w:gridSpan w:val="2"/>
            <w:noWrap w:val="0"/>
            <w:vAlign w:val="center"/>
          </w:tcPr>
          <w:p>
            <w:pPr>
              <w:jc w:val="left"/>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eastAsia="zh-CN"/>
              </w:rPr>
              <w:t>企业高层管理人员培训</w:t>
            </w:r>
          </w:p>
        </w:tc>
        <w:tc>
          <w:tcPr>
            <w:tcW w:w="6637" w:type="dxa"/>
            <w:gridSpan w:val="3"/>
            <w:noWrap w:val="0"/>
            <w:vAlign w:val="center"/>
          </w:tcPr>
          <w:p>
            <w:pPr>
              <w:jc w:val="left"/>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核定实际支出，补贴标准境内不超过20000元/人/次，境外不超过</w:t>
            </w: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30000</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元/人/次。</w:t>
            </w:r>
          </w:p>
        </w:tc>
        <w:tc>
          <w:tcPr>
            <w:tcW w:w="1380" w:type="dxa"/>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个性化定制教材</w:t>
            </w:r>
          </w:p>
        </w:tc>
        <w:tc>
          <w:tcPr>
            <w:tcW w:w="523" w:type="dxa"/>
            <w:noWrap w:val="0"/>
            <w:vAlign w:val="center"/>
          </w:tcPr>
          <w:p>
            <w:pPr>
              <w:jc w:val="center"/>
              <w:rPr>
                <w:rFonts w:hint="eastAsia" w:ascii="CESI仿宋-GB2312" w:hAnsi="CESI仿宋-GB2312" w:eastAsia="CESI仿宋-GB2312" w:cs="CESI仿宋-GB2312"/>
                <w:b/>
                <w:bCs/>
                <w:color w:val="0070C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45" w:hRule="exact"/>
          <w:jc w:val="center"/>
        </w:trPr>
        <w:tc>
          <w:tcPr>
            <w:tcW w:w="11111" w:type="dxa"/>
            <w:gridSpan w:val="8"/>
            <w:noWrap w:val="0"/>
            <w:vAlign w:val="center"/>
          </w:tcPr>
          <w:p>
            <w:pPr>
              <w:jc w:val="center"/>
              <w:rPr>
                <w:rFonts w:hint="eastAsia" w:ascii="CESI仿宋-GB2312" w:hAnsi="CESI仿宋-GB2312" w:eastAsia="CESI仿宋-GB2312" w:cs="CESI仿宋-GB2312"/>
                <w:b/>
                <w:bCs/>
                <w:color w:val="0070C0"/>
                <w:sz w:val="21"/>
                <w:szCs w:val="21"/>
                <w:highlight w:val="none"/>
                <w:lang w:val="en-US" w:eastAsia="zh-CN"/>
              </w:rPr>
            </w:pPr>
            <w:r>
              <w:rPr>
                <w:rFonts w:hint="eastAsia" w:ascii="CESI仿宋-GB2312" w:hAnsi="CESI仿宋-GB2312" w:eastAsia="CESI仿宋-GB2312" w:cs="CESI仿宋-GB2312"/>
                <w:b/>
                <w:color w:val="auto"/>
                <w:sz w:val="21"/>
                <w:szCs w:val="21"/>
                <w:highlight w:val="none"/>
              </w:rPr>
              <w:t xml:space="preserve"> 三、创业培训类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9"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val="en-US" w:eastAsia="zh-CN"/>
              </w:rPr>
              <w:t>92</w:t>
            </w:r>
          </w:p>
        </w:tc>
        <w:tc>
          <w:tcPr>
            <w:tcW w:w="2242" w:type="dxa"/>
            <w:gridSpan w:val="2"/>
            <w:noWrap w:val="0"/>
            <w:vAlign w:val="center"/>
          </w:tcPr>
          <w:p>
            <w:pPr>
              <w:jc w:val="center"/>
              <w:rPr>
                <w:rFonts w:hint="eastAsia" w:ascii="CESI仿宋-GB2312" w:hAnsi="CESI仿宋-GB2312" w:eastAsia="CESI仿宋-GB2312" w:cs="CESI仿宋-GB2312"/>
                <w:b/>
                <w:bCs/>
                <w:color w:val="FF0000"/>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创业基础培训</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16</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创业思维、市场分析、商业模式、融资策略</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创新创业基础</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》高等教育出版社出版</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42"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val="en-US" w:eastAsia="zh-CN"/>
              </w:rPr>
              <w:t>93</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技术创业与孵化</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40</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技术评估、技术转化、孵化器运营、技术驱动的创业策略</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700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w:t>
            </w: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科技孵化产业智力资本协同对区域创新绩效影响研究</w:t>
            </w: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》首都经济贸易大学出版社</w:t>
            </w:r>
          </w:p>
        </w:tc>
        <w:tc>
          <w:tcPr>
            <w:tcW w:w="523" w:type="dxa"/>
            <w:noWrap w:val="0"/>
            <w:vAlign w:val="center"/>
          </w:tcPr>
          <w:p>
            <w:pPr>
              <w:spacing w:line="200" w:lineRule="atLeast"/>
              <w:jc w:val="center"/>
              <w:rPr>
                <w:rFonts w:hint="eastAsia" w:ascii="CESI仿宋-GB2312" w:hAnsi="CESI仿宋-GB2312" w:eastAsia="CESI仿宋-GB2312" w:cs="CESI仿宋-GB2312"/>
                <w:color w:val="000000" w:themeColor="text1"/>
                <w:kern w:val="2"/>
                <w:sz w:val="21"/>
                <w:szCs w:val="21"/>
                <w:highlight w:val="none"/>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86"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lang w:val="en-US" w:eastAsia="zh-CN"/>
              </w:rPr>
              <w:t>94</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元宇宙创业</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80</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eastAsia="zh-CN"/>
                <w14:textFill>
                  <w14:solidFill>
                    <w14:schemeClr w14:val="tx1"/>
                  </w14:solidFill>
                </w14:textFill>
              </w:rPr>
              <w:t>元宇宙多重价值空间中的商业迭代、创业赛道、投资前景、产业发展机遇等。</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lang w:val="en-US" w:eastAsia="zh-CN"/>
                <w14:textFill>
                  <w14:solidFill>
                    <w14:schemeClr w14:val="tx1"/>
                  </w14:solidFill>
                </w14:textFill>
              </w:rPr>
              <w:t>1600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《元宇宙创业:Web3.0时代投资指南》 电子工业出版社</w:t>
            </w:r>
          </w:p>
        </w:tc>
        <w:tc>
          <w:tcPr>
            <w:tcW w:w="523" w:type="dxa"/>
            <w:noWrap w:val="0"/>
            <w:vAlign w:val="center"/>
          </w:tcPr>
          <w:p>
            <w:pPr>
              <w:spacing w:line="200" w:lineRule="atLeast"/>
              <w:jc w:val="center"/>
              <w:rPr>
                <w:rFonts w:hint="eastAsia" w:ascii="CESI仿宋-GB2312" w:hAnsi="CESI仿宋-GB2312" w:eastAsia="CESI仿宋-GB2312" w:cs="CESI仿宋-GB2312"/>
                <w:b/>
                <w:bCs/>
                <w:color w:val="0070C0"/>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93" w:hRule="exact"/>
          <w:jc w:val="center"/>
        </w:trPr>
        <w:tc>
          <w:tcPr>
            <w:tcW w:w="329" w:type="dxa"/>
            <w:noWrap w:val="0"/>
            <w:vAlign w:val="center"/>
          </w:tcPr>
          <w:p>
            <w:pPr>
              <w:spacing w:line="200" w:lineRule="atLeast"/>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default" w:ascii="CESI仿宋-GB2312" w:hAnsi="CESI仿宋-GB2312" w:eastAsia="CESI仿宋-GB2312" w:cs="CESI仿宋-GB2312"/>
                <w:b/>
                <w:bCs/>
                <w:color w:val="auto"/>
                <w:sz w:val="21"/>
                <w:szCs w:val="21"/>
                <w:highlight w:val="none"/>
                <w:lang w:val="en-US" w:eastAsia="zh-CN"/>
              </w:rPr>
              <w:t>9</w:t>
            </w:r>
            <w:r>
              <w:rPr>
                <w:rFonts w:hint="eastAsia" w:ascii="CESI仿宋-GB2312" w:hAnsi="CESI仿宋-GB2312" w:eastAsia="CESI仿宋-GB2312" w:cs="CESI仿宋-GB2312"/>
                <w:b/>
                <w:bCs/>
                <w:color w:val="auto"/>
                <w:sz w:val="21"/>
                <w:szCs w:val="21"/>
                <w:highlight w:val="none"/>
                <w:lang w:val="en-US" w:eastAsia="zh-CN"/>
              </w:rPr>
              <w:t>5</w:t>
            </w:r>
          </w:p>
        </w:tc>
        <w:tc>
          <w:tcPr>
            <w:tcW w:w="2242" w:type="dxa"/>
            <w:gridSpan w:val="2"/>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电子商务大数据技术应用</w:t>
            </w:r>
          </w:p>
        </w:tc>
        <w:tc>
          <w:tcPr>
            <w:tcW w:w="1138" w:type="dxa"/>
            <w:tcBorders>
              <w:right w:val="single" w:color="auto" w:sz="4" w:space="0"/>
            </w:tcBorders>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80</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使用Google Analytics、SimilarWeb等利器，活用免费网络资源分析巨量信息。课程主要内容包括：1、大数据与电子商务；2、大数据电子商务之舆情探索；3、大数据电子商务之数字足迹掌握；4、大数据电子商务之信息浓缩与获取；5、大数据电子商务之善用情报数据可视化与人工智能。</w:t>
            </w:r>
          </w:p>
        </w:tc>
        <w:tc>
          <w:tcPr>
            <w:tcW w:w="537" w:type="dxa"/>
            <w:tcBorders>
              <w:left w:val="single" w:color="auto" w:sz="4" w:space="0"/>
            </w:tcBorders>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3500</w:t>
            </w:r>
          </w:p>
        </w:tc>
        <w:tc>
          <w:tcPr>
            <w:tcW w:w="1380" w:type="dxa"/>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《大数据应用：成为大数据电子商务高手》</w:t>
            </w:r>
          </w:p>
        </w:tc>
        <w:tc>
          <w:tcPr>
            <w:tcW w:w="523" w:type="dxa"/>
            <w:noWrap w:val="0"/>
            <w:vAlign w:val="center"/>
          </w:tcPr>
          <w:p>
            <w:pPr>
              <w:spacing w:line="200" w:lineRule="atLeast"/>
              <w:jc w:val="center"/>
              <w:rPr>
                <w:rFonts w:hint="eastAsia" w:ascii="CESI仿宋-GB2312" w:hAnsi="CESI仿宋-GB2312" w:eastAsia="CESI仿宋-GB2312" w:cs="CESI仿宋-GB2312"/>
                <w:b/>
                <w:bCs/>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1" w:hRule="exact"/>
          <w:jc w:val="center"/>
        </w:trPr>
        <w:tc>
          <w:tcPr>
            <w:tcW w:w="329" w:type="dxa"/>
            <w:noWrap w:val="0"/>
            <w:vAlign w:val="center"/>
          </w:tcPr>
          <w:p>
            <w:pPr>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kern w:val="2"/>
                <w:sz w:val="21"/>
                <w:szCs w:val="21"/>
                <w:highlight w:val="none"/>
                <w:lang w:val="en-US" w:eastAsia="zh-CN" w:bidi="ar-SA"/>
              </w:rPr>
              <w:t>96</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跨境电商</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56</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全球开店介绍，帐号风险控制，后台功能介绍与实操，文案七要素编写，订单与售后处理，跟卖机制介绍，FBA发货，站内广告，站内营销实操。</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2000</w:t>
            </w:r>
          </w:p>
        </w:tc>
        <w:tc>
          <w:tcPr>
            <w:tcW w:w="1380" w:type="dxa"/>
            <w:noWrap w:val="0"/>
            <w:vAlign w:val="center"/>
          </w:tcPr>
          <w:p>
            <w:pPr>
              <w:jc w:val="left"/>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《跨境电子商务操作实务》</w:t>
            </w:r>
          </w:p>
        </w:tc>
        <w:tc>
          <w:tcPr>
            <w:tcW w:w="523" w:type="dxa"/>
            <w:noWrap w:val="0"/>
            <w:vAlign w:val="center"/>
          </w:tcPr>
          <w:p>
            <w:pPr>
              <w:spacing w:line="200" w:lineRule="atLeast"/>
              <w:jc w:val="center"/>
              <w:rPr>
                <w:rFonts w:hint="eastAsia" w:ascii="CESI仿宋-GB2312" w:hAnsi="CESI仿宋-GB2312" w:eastAsia="CESI仿宋-GB2312" w:cs="CESI仿宋-GB2312"/>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21" w:hRule="exact"/>
          <w:jc w:val="center"/>
        </w:trPr>
        <w:tc>
          <w:tcPr>
            <w:tcW w:w="329" w:type="dxa"/>
            <w:noWrap w:val="0"/>
            <w:vAlign w:val="center"/>
          </w:tcPr>
          <w:p>
            <w:pPr>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kern w:val="2"/>
                <w:sz w:val="21"/>
                <w:szCs w:val="21"/>
                <w:highlight w:val="none"/>
                <w:lang w:val="en-US" w:eastAsia="zh-CN" w:bidi="ar-SA"/>
              </w:rPr>
              <w:t>97</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电子商务</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电子商务基础及后台解析，标题优化（SEO）数据分析及爆款选品，快速打造基础销量金牌客服，美工课程个性化搜索（千人千面）， 营销策划，课程回顾总结等。</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1500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《电子商务师》（省职业技能鉴定指导丛书）</w:t>
            </w:r>
          </w:p>
        </w:tc>
        <w:tc>
          <w:tcPr>
            <w:tcW w:w="523" w:type="dxa"/>
            <w:noWrap w:val="0"/>
            <w:vAlign w:val="center"/>
          </w:tcPr>
          <w:p>
            <w:pPr>
              <w:spacing w:line="200" w:lineRule="atLeast"/>
              <w:jc w:val="center"/>
              <w:rPr>
                <w:rFonts w:hint="eastAsia" w:ascii="CESI仿宋-GB2312" w:hAnsi="CESI仿宋-GB2312" w:eastAsia="CESI仿宋-GB2312" w:cs="CESI仿宋-GB2312"/>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06" w:hRule="exact"/>
          <w:jc w:val="center"/>
        </w:trPr>
        <w:tc>
          <w:tcPr>
            <w:tcW w:w="329" w:type="dxa"/>
            <w:noWrap w:val="0"/>
            <w:vAlign w:val="center"/>
          </w:tcPr>
          <w:p>
            <w:pPr>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kern w:val="2"/>
                <w:sz w:val="21"/>
                <w:szCs w:val="21"/>
                <w:highlight w:val="none"/>
                <w:lang w:val="en-US" w:eastAsia="zh-CN" w:bidi="ar-SA"/>
              </w:rPr>
              <w:t>98</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网络开店</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40</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创业观念教育，开店基础知识 ，平台操作，运营工具，修图软件应用，日常运营管理，促销方式的运用等。</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1500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《网络开店实务》</w:t>
            </w:r>
          </w:p>
        </w:tc>
        <w:tc>
          <w:tcPr>
            <w:tcW w:w="523" w:type="dxa"/>
            <w:noWrap w:val="0"/>
            <w:vAlign w:val="center"/>
          </w:tcPr>
          <w:p>
            <w:pPr>
              <w:spacing w:line="200" w:lineRule="atLeast"/>
              <w:jc w:val="center"/>
              <w:rPr>
                <w:rFonts w:hint="eastAsia" w:ascii="CESI仿宋-GB2312" w:hAnsi="CESI仿宋-GB2312" w:eastAsia="CESI仿宋-GB2312" w:cs="CESI仿宋-GB2312"/>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76" w:hRule="exact"/>
          <w:jc w:val="center"/>
        </w:trPr>
        <w:tc>
          <w:tcPr>
            <w:tcW w:w="329" w:type="dxa"/>
            <w:noWrap w:val="0"/>
            <w:vAlign w:val="center"/>
          </w:tcPr>
          <w:p>
            <w:pPr>
              <w:jc w:val="center"/>
              <w:rPr>
                <w:rFonts w:hint="default"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kern w:val="2"/>
                <w:sz w:val="21"/>
                <w:szCs w:val="21"/>
                <w:highlight w:val="none"/>
                <w:lang w:val="en-US" w:eastAsia="zh-CN" w:bidi="ar-SA"/>
              </w:rPr>
              <w:t>99</w:t>
            </w:r>
          </w:p>
        </w:tc>
        <w:tc>
          <w:tcPr>
            <w:tcW w:w="2242" w:type="dxa"/>
            <w:gridSpan w:val="2"/>
            <w:noWrap w:val="0"/>
            <w:vAlign w:val="center"/>
          </w:tcPr>
          <w:p>
            <w:pPr>
              <w:jc w:val="center"/>
              <w:rPr>
                <w:rFonts w:hint="eastAsia" w:ascii="CESI仿宋-GB2312" w:hAnsi="CESI仿宋-GB2312" w:eastAsia="CESI仿宋-GB2312" w:cs="CESI仿宋-GB2312"/>
                <w:b/>
                <w:bCs/>
                <w:color w:val="auto"/>
                <w:kern w:val="2"/>
                <w:sz w:val="21"/>
                <w:szCs w:val="21"/>
                <w:highlight w:val="none"/>
                <w:lang w:val="en-US" w:eastAsia="zh-CN" w:bidi="ar-SA"/>
              </w:rPr>
            </w:pPr>
            <w:r>
              <w:rPr>
                <w:rFonts w:hint="eastAsia" w:ascii="CESI仿宋-GB2312" w:hAnsi="CESI仿宋-GB2312" w:eastAsia="CESI仿宋-GB2312" w:cs="CESI仿宋-GB2312"/>
                <w:b/>
                <w:bCs/>
                <w:color w:val="auto"/>
                <w:sz w:val="21"/>
                <w:szCs w:val="21"/>
                <w:highlight w:val="none"/>
              </w:rPr>
              <w:t>创办你的企业(SYB)</w:t>
            </w:r>
          </w:p>
        </w:tc>
        <w:tc>
          <w:tcPr>
            <w:tcW w:w="1138" w:type="dxa"/>
            <w:tcBorders>
              <w:righ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56</w:t>
            </w:r>
          </w:p>
        </w:tc>
        <w:tc>
          <w:tcPr>
            <w:tcW w:w="4962" w:type="dxa"/>
            <w:tcBorders>
              <w:left w:val="single" w:color="auto" w:sz="4" w:space="0"/>
              <w:right w:val="single" w:color="auto" w:sz="4" w:space="0"/>
            </w:tcBorders>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分组互动，创业的优势和挑战创业机会和项目确定，自身条件分析，地址选择，企业构思和生存判断，市场评估，成本控制，获得利润，创业评估等。</w:t>
            </w:r>
          </w:p>
        </w:tc>
        <w:tc>
          <w:tcPr>
            <w:tcW w:w="537" w:type="dxa"/>
            <w:tcBorders>
              <w:left w:val="single" w:color="auto" w:sz="4" w:space="0"/>
            </w:tcBorders>
            <w:noWrap w:val="0"/>
            <w:vAlign w:val="center"/>
          </w:tcPr>
          <w:p>
            <w:pPr>
              <w:jc w:val="center"/>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2000</w:t>
            </w:r>
          </w:p>
        </w:tc>
        <w:tc>
          <w:tcPr>
            <w:tcW w:w="1380" w:type="dxa"/>
            <w:noWrap w:val="0"/>
            <w:vAlign w:val="center"/>
          </w:tcPr>
          <w:p>
            <w:pPr>
              <w:jc w:val="left"/>
              <w:rPr>
                <w:rFonts w:hint="eastAsia" w:ascii="CESI仿宋-GB2312" w:hAnsi="CESI仿宋-GB2312" w:eastAsia="CESI仿宋-GB2312" w:cs="CESI仿宋-GB2312"/>
                <w:b/>
                <w:bCs/>
                <w:color w:val="000000" w:themeColor="text1"/>
                <w:kern w:val="2"/>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b/>
                <w:bCs/>
                <w:color w:val="000000" w:themeColor="text1"/>
                <w:sz w:val="21"/>
                <w:szCs w:val="21"/>
                <w:highlight w:val="none"/>
                <w14:textFill>
                  <w14:solidFill>
                    <w14:schemeClr w14:val="tx1"/>
                  </w14:solidFill>
                </w14:textFill>
              </w:rPr>
              <w:t>《创办你的企业》</w:t>
            </w:r>
          </w:p>
        </w:tc>
        <w:tc>
          <w:tcPr>
            <w:tcW w:w="523" w:type="dxa"/>
            <w:noWrap w:val="0"/>
            <w:vAlign w:val="center"/>
          </w:tcPr>
          <w:p>
            <w:pPr>
              <w:spacing w:line="200" w:lineRule="atLeast"/>
              <w:jc w:val="center"/>
              <w:rPr>
                <w:rFonts w:hint="eastAsia" w:ascii="CESI仿宋-GB2312" w:hAnsi="CESI仿宋-GB2312" w:eastAsia="CESI仿宋-GB2312" w:cs="CESI仿宋-GB2312"/>
                <w:color w:val="auto"/>
                <w:kern w:val="2"/>
                <w:sz w:val="21"/>
                <w:szCs w:val="21"/>
                <w:highlight w:val="none"/>
                <w:lang w:val="en-US" w:eastAsia="zh-CN" w:bidi="ar-SA"/>
              </w:rPr>
            </w:pPr>
          </w:p>
        </w:tc>
      </w:tr>
    </w:tbl>
    <w:p>
      <w:pPr>
        <w:rPr>
          <w:rFonts w:hint="eastAsia" w:ascii="CESI仿宋-GB2312" w:hAnsi="CESI仿宋-GB2312" w:eastAsia="CESI仿宋-GB2312" w:cs="CESI仿宋-GB2312"/>
          <w:b/>
          <w:bCs/>
          <w:vanish/>
          <w:color w:val="auto"/>
          <w:sz w:val="21"/>
          <w:szCs w:val="21"/>
          <w:highlight w:val="none"/>
        </w:rPr>
      </w:pPr>
    </w:p>
    <w:p>
      <w:pPr>
        <w:rPr>
          <w:sz w:val="24"/>
          <w:szCs w:val="24"/>
        </w:rPr>
      </w:pPr>
    </w:p>
    <w:p/>
    <w:sectPr>
      <w:footerReference r:id="rId3" w:type="default"/>
      <w:footerReference r:id="rId4" w:type="even"/>
      <w:pgSz w:w="11906" w:h="16838"/>
      <w:pgMar w:top="1440" w:right="1740" w:bottom="1440"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55853"/>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eastAsia="华文仿宋"/>
      </w:rPr>
    </w:pPr>
    <w:r>
      <w:fldChar w:fldCharType="begin"/>
    </w:r>
    <w:r>
      <w:rPr>
        <w:rStyle w:val="12"/>
      </w:rPr>
      <w:instrText xml:space="preserve">PAGE  </w:instrText>
    </w:r>
    <w:r>
      <w:fldChar w:fldCharType="end"/>
    </w:r>
  </w:p>
  <w:p>
    <w:pPr>
      <w:pStyle w:val="8"/>
      <w:rPr>
        <w:rFonts w:eastAsia="华文仿宋"/>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EFE9C0"/>
    <w:rsid w:val="1BF70F9A"/>
    <w:rsid w:val="1EF7A8BD"/>
    <w:rsid w:val="2BFE0A81"/>
    <w:rsid w:val="33F5B17F"/>
    <w:rsid w:val="33F70F94"/>
    <w:rsid w:val="35971B47"/>
    <w:rsid w:val="37273042"/>
    <w:rsid w:val="3BAEE9BF"/>
    <w:rsid w:val="3BEEF899"/>
    <w:rsid w:val="3DD95A47"/>
    <w:rsid w:val="3DEFCACE"/>
    <w:rsid w:val="3F964402"/>
    <w:rsid w:val="3FDA9B5D"/>
    <w:rsid w:val="3FFF9CC4"/>
    <w:rsid w:val="4A1947CF"/>
    <w:rsid w:val="4FDAC97C"/>
    <w:rsid w:val="4FFD8A0F"/>
    <w:rsid w:val="53DB2193"/>
    <w:rsid w:val="5D7C4C05"/>
    <w:rsid w:val="5F7F426B"/>
    <w:rsid w:val="69FEC3D9"/>
    <w:rsid w:val="6AD71F36"/>
    <w:rsid w:val="6DCAE0FF"/>
    <w:rsid w:val="6DDB0DBB"/>
    <w:rsid w:val="6F374350"/>
    <w:rsid w:val="6FF50DDE"/>
    <w:rsid w:val="6FFC381F"/>
    <w:rsid w:val="73E54B67"/>
    <w:rsid w:val="73F597E8"/>
    <w:rsid w:val="7555E9A1"/>
    <w:rsid w:val="77C74E3D"/>
    <w:rsid w:val="7BF76081"/>
    <w:rsid w:val="7DA7419D"/>
    <w:rsid w:val="7E7AC719"/>
    <w:rsid w:val="7EBF92C7"/>
    <w:rsid w:val="7F77DBCC"/>
    <w:rsid w:val="7F7DA697"/>
    <w:rsid w:val="7F7DB457"/>
    <w:rsid w:val="7FD1406A"/>
    <w:rsid w:val="7FDAFAA4"/>
    <w:rsid w:val="7FF3DF9E"/>
    <w:rsid w:val="99567100"/>
    <w:rsid w:val="9CF0FAD9"/>
    <w:rsid w:val="ABED7F59"/>
    <w:rsid w:val="ADAB4926"/>
    <w:rsid w:val="AFC7BD75"/>
    <w:rsid w:val="B7BE8AD7"/>
    <w:rsid w:val="B7FB9FB2"/>
    <w:rsid w:val="B9B550B9"/>
    <w:rsid w:val="BD69880E"/>
    <w:rsid w:val="BD7F7327"/>
    <w:rsid w:val="BEF638B1"/>
    <w:rsid w:val="BF6F2EB1"/>
    <w:rsid w:val="C7DA2C6A"/>
    <w:rsid w:val="D7B72D18"/>
    <w:rsid w:val="D9FF4368"/>
    <w:rsid w:val="DB7397C5"/>
    <w:rsid w:val="DBBDA95C"/>
    <w:rsid w:val="DBFFF25D"/>
    <w:rsid w:val="DCBD9552"/>
    <w:rsid w:val="DEFBC57B"/>
    <w:rsid w:val="DF772DD9"/>
    <w:rsid w:val="E48DCEF2"/>
    <w:rsid w:val="E53C1A06"/>
    <w:rsid w:val="E728356E"/>
    <w:rsid w:val="E7C40950"/>
    <w:rsid w:val="E7FB11F5"/>
    <w:rsid w:val="EEA7F720"/>
    <w:rsid w:val="EFD7EC26"/>
    <w:rsid w:val="EFF76156"/>
    <w:rsid w:val="F34DEE6B"/>
    <w:rsid w:val="F5571AD6"/>
    <w:rsid w:val="FA784438"/>
    <w:rsid w:val="FBFF026C"/>
    <w:rsid w:val="FD5B80AC"/>
    <w:rsid w:val="FDDF9A53"/>
    <w:rsid w:val="FEECBFA5"/>
    <w:rsid w:val="FEFE3696"/>
    <w:rsid w:val="FFAEAE2F"/>
    <w:rsid w:val="FFDBC442"/>
    <w:rsid w:val="FFDC6569"/>
    <w:rsid w:val="FFFF1AFE"/>
    <w:rsid w:val="FFFF3462"/>
    <w:rsid w:val="FFFF9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qFormat/>
    <w:uiPriority w:val="9"/>
    <w:pPr>
      <w:keepNext/>
      <w:keepLines/>
      <w:spacing w:before="340" w:beforeLines="0" w:after="330" w:afterLines="0" w:line="576"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Cs w:val="24"/>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6">
    <w:name w:val="Normal Indent"/>
    <w:basedOn w:val="1"/>
    <w:next w:val="1"/>
    <w:qFormat/>
    <w:uiPriority w:val="0"/>
    <w:pPr>
      <w:ind w:firstLine="420"/>
    </w:pPr>
  </w:style>
  <w:style w:type="paragraph" w:styleId="7">
    <w:name w:val="index 5"/>
    <w:basedOn w:val="1"/>
    <w:next w:val="1"/>
    <w:qFormat/>
    <w:uiPriority w:val="0"/>
    <w:pPr>
      <w:ind w:left="1680"/>
    </w:pPr>
    <w:rPr>
      <w:rFonts w:ascii="Calibri" w:hAnsi="Calibri" w:eastAsia="宋体" w:cs="Times New Roman"/>
      <w:sz w:val="21"/>
    </w:rPr>
  </w:style>
  <w:style w:type="paragraph" w:styleId="8">
    <w:name w:val="footer"/>
    <w:basedOn w:val="1"/>
    <w:next w:val="7"/>
    <w:unhideWhenUsed/>
    <w:qFormat/>
    <w:uiPriority w:val="99"/>
    <w:pPr>
      <w:tabs>
        <w:tab w:val="center" w:pos="4153"/>
        <w:tab w:val="right" w:pos="8306"/>
      </w:tabs>
      <w:snapToGrid w:val="0"/>
      <w:jc w:val="left"/>
    </w:pPr>
    <w:rPr>
      <w:rFonts w:eastAsia="宋体"/>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2018-07-22T15:11:00Z</dcterms:created>
  <dc:creator>d</dc:creator>
  <cp:lastModifiedBy>kylin</cp:lastModifiedBy>
  <cp:lastPrinted>2024-01-06T09:15:00Z</cp:lastPrinted>
  <dcterms:modified xsi:type="dcterms:W3CDTF">2024-01-23T16:15:08Z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