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kinsoku/>
        <w:wordWrap/>
        <w:overflowPunct/>
        <w:topLinePunct w:val="0"/>
        <w:autoSpaceDE/>
        <w:autoSpaceDN/>
        <w:bidi w:val="0"/>
        <w:adjustRightInd/>
        <w:snapToGrid/>
        <w:spacing w:line="560" w:lineRule="exact"/>
        <w:jc w:val="both"/>
        <w:rPr>
          <w:rFonts w:hint="eastAsia" w:ascii="黑体" w:hAnsi="黑体" w:eastAsia="黑体" w:cs="黑体"/>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Theme="majorEastAsia" w:hAnsiTheme="majorEastAsia" w:eastAsiaTheme="majorEastAsia" w:cstheme="majorEastAsia"/>
          <w:b w:val="0"/>
          <w:bCs/>
          <w:color w:val="auto"/>
          <w:sz w:val="44"/>
          <w:szCs w:val="44"/>
        </w:rPr>
      </w:pPr>
      <w:r>
        <w:rPr>
          <w:rFonts w:hint="eastAsia" w:asciiTheme="majorEastAsia" w:hAnsiTheme="majorEastAsia" w:eastAsiaTheme="majorEastAsia" w:cstheme="majorEastAsia"/>
          <w:b w:val="0"/>
          <w:bCs/>
          <w:color w:val="auto"/>
          <w:sz w:val="44"/>
          <w:szCs w:val="44"/>
          <w:lang w:eastAsia="zh-CN"/>
        </w:rPr>
        <w:t>固定资产投资项目</w:t>
      </w:r>
      <w:r>
        <w:rPr>
          <w:rFonts w:hint="eastAsia" w:asciiTheme="majorEastAsia" w:hAnsiTheme="majorEastAsia" w:eastAsiaTheme="majorEastAsia" w:cstheme="majorEastAsia"/>
          <w:b w:val="0"/>
          <w:bCs/>
          <w:color w:val="auto"/>
          <w:sz w:val="44"/>
          <w:szCs w:val="44"/>
        </w:rPr>
        <w:t>填报</w:t>
      </w:r>
      <w:r>
        <w:rPr>
          <w:rFonts w:hint="eastAsia" w:asciiTheme="majorEastAsia" w:hAnsiTheme="majorEastAsia" w:eastAsiaTheme="majorEastAsia" w:cstheme="majorEastAsia"/>
          <w:b w:val="0"/>
          <w:bCs/>
          <w:color w:val="auto"/>
          <w:sz w:val="44"/>
          <w:szCs w:val="44"/>
          <w:lang w:eastAsia="zh-CN"/>
        </w:rPr>
        <w:t>凭证</w:t>
      </w:r>
      <w:r>
        <w:rPr>
          <w:rFonts w:hint="eastAsia" w:asciiTheme="majorEastAsia" w:hAnsiTheme="majorEastAsia" w:eastAsiaTheme="majorEastAsia" w:cstheme="majorEastAsia"/>
          <w:b w:val="0"/>
          <w:bCs/>
          <w:color w:val="auto"/>
          <w:sz w:val="44"/>
          <w:szCs w:val="44"/>
        </w:rPr>
        <w:t>上报要求</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黑体" w:hAnsi="黑体" w:eastAsia="黑体"/>
          <w:sz w:val="32"/>
          <w:szCs w:val="32"/>
        </w:rPr>
      </w:pPr>
    </w:p>
    <w:p>
      <w:pPr>
        <w:keepNext w:val="0"/>
        <w:keepLines w:val="0"/>
        <w:pageBreakBefore w:val="0"/>
        <w:kinsoku/>
        <w:wordWrap/>
        <w:overflowPunct/>
        <w:topLinePunct w:val="0"/>
        <w:autoSpaceDE/>
        <w:autoSpaceDN/>
        <w:bidi w:val="0"/>
        <w:adjustRightInd/>
        <w:snapToGrid/>
        <w:spacing w:line="560" w:lineRule="exact"/>
        <w:ind w:firstLine="640" w:firstLineChars="200"/>
        <w:jc w:val="left"/>
        <w:rPr>
          <w:rFonts w:hint="eastAsia" w:ascii="黑体" w:hAnsi="黑体" w:eastAsia="黑体"/>
          <w:color w:val="auto"/>
          <w:sz w:val="32"/>
          <w:szCs w:val="32"/>
          <w:lang w:eastAsia="zh-CN"/>
        </w:rPr>
      </w:pPr>
      <w:r>
        <w:rPr>
          <w:rFonts w:hint="eastAsia" w:ascii="黑体" w:hAnsi="黑体" w:eastAsia="黑体"/>
          <w:color w:val="auto"/>
          <w:sz w:val="32"/>
          <w:szCs w:val="32"/>
        </w:rPr>
        <w:t>一、</w:t>
      </w:r>
      <w:r>
        <w:rPr>
          <w:rFonts w:hint="eastAsia" w:ascii="黑体" w:hAnsi="黑体" w:eastAsia="黑体"/>
          <w:color w:val="auto"/>
          <w:sz w:val="32"/>
          <w:szCs w:val="32"/>
          <w:lang w:eastAsia="zh-CN"/>
        </w:rPr>
        <w:t>报</w:t>
      </w:r>
      <w:bookmarkStart w:id="0" w:name="_GoBack"/>
      <w:bookmarkEnd w:id="0"/>
      <w:r>
        <w:rPr>
          <w:rFonts w:hint="eastAsia" w:ascii="黑体" w:hAnsi="黑体" w:eastAsia="黑体"/>
          <w:color w:val="auto"/>
          <w:sz w:val="32"/>
          <w:szCs w:val="32"/>
          <w:lang w:eastAsia="zh-CN"/>
        </w:rPr>
        <w:t>送对象</w:t>
      </w:r>
    </w:p>
    <w:p>
      <w:pPr>
        <w:spacing w:line="560" w:lineRule="exact"/>
        <w:ind w:firstLine="640" w:firstLineChars="200"/>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在库固定资产投资项目（本月新增完成投资额超2000万元）单位。</w:t>
      </w: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上报格式</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一个凭证文件的大小不能超过4M，如超过，需分成最多四个文件。文件命名规则是：项目代码+项目名称。</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凭证文件超过1个的，要放进一个文件夹，文件夹的命名规则和凭证文件的命名规则一样，同时，文件夹内每个凭证文件的命名规则为：项目代码+项目名称+顺序号。</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凭证文件大小控制在16兆以内，每个文件限制为4M。</w:t>
      </w: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上报途径</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各单位每月登录国家系统上报数据前，按上述要求准备凭证并上交至属地街道投资统计负责人处（见附件2）。</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同时，被国家系统抽中、要求上报凭证的项目单位：在规定时间内，通过系统“附件”选项上传填报凭证（注：国家系统预留4个附件指标，每个文件限制为4M）。</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凭证报送周期为：月报。</w:t>
      </w:r>
    </w:p>
    <w:p>
      <w:pPr>
        <w:pStyle w:val="3"/>
        <w:rPr>
          <w:rFonts w:hint="eastAsia"/>
          <w:lang w:val="en-US" w:eastAsia="zh-CN"/>
        </w:rPr>
      </w:pPr>
    </w:p>
    <w:p>
      <w:pPr>
        <w:keepNext w:val="0"/>
        <w:keepLines w:val="0"/>
        <w:pageBreakBefore w:val="0"/>
        <w:kinsoku/>
        <w:wordWrap/>
        <w:overflowPunct/>
        <w:topLinePunct w:val="0"/>
        <w:autoSpaceDE/>
        <w:autoSpaceDN/>
        <w:bidi w:val="0"/>
        <w:adjustRightInd/>
        <w:snapToGrid/>
        <w:spacing w:line="560" w:lineRule="exact"/>
        <w:jc w:val="left"/>
        <w:rPr>
          <w:rFonts w:ascii="黑体" w:hAnsi="黑体" w:eastAsia="黑体"/>
          <w:sz w:val="32"/>
          <w:szCs w:val="32"/>
        </w:rPr>
      </w:pPr>
    </w:p>
    <w:p>
      <w:pPr>
        <w:keepNext w:val="0"/>
        <w:keepLines w:val="0"/>
        <w:pageBreakBefore w:val="0"/>
        <w:kinsoku/>
        <w:wordWrap/>
        <w:overflowPunct/>
        <w:topLinePunct w:val="0"/>
        <w:autoSpaceDE/>
        <w:autoSpaceDN/>
        <w:bidi w:val="0"/>
        <w:adjustRightInd/>
        <w:snapToGrid/>
        <w:spacing w:line="560" w:lineRule="exact"/>
        <w:jc w:val="left"/>
        <w:rPr>
          <w:rFonts w:ascii="黑体" w:hAnsi="黑体" w:eastAsia="黑体"/>
          <w:sz w:val="32"/>
          <w:szCs w:val="32"/>
        </w:rPr>
      </w:pPr>
    </w:p>
    <w:p>
      <w:pPr>
        <w:keepNext w:val="0"/>
        <w:keepLines w:val="0"/>
        <w:pageBreakBefore w:val="0"/>
        <w:kinsoku/>
        <w:wordWrap/>
        <w:overflowPunct/>
        <w:topLinePunct w:val="0"/>
        <w:autoSpaceDE/>
        <w:autoSpaceDN/>
        <w:bidi w:val="0"/>
        <w:adjustRightInd/>
        <w:snapToGrid/>
        <w:spacing w:line="560" w:lineRule="exact"/>
        <w:jc w:val="left"/>
        <w:rPr>
          <w:rFonts w:ascii="黑体" w:hAnsi="黑体" w:eastAsia="黑体"/>
          <w:sz w:val="32"/>
          <w:szCs w:val="32"/>
        </w:rPr>
      </w:pPr>
    </w:p>
    <w:p>
      <w:pPr>
        <w:keepNext w:val="0"/>
        <w:keepLines w:val="0"/>
        <w:pageBreakBefore/>
        <w:widowControl w:val="0"/>
        <w:kinsoku/>
        <w:wordWrap/>
        <w:overflowPunct/>
        <w:topLinePunct w:val="0"/>
        <w:autoSpaceDE/>
        <w:autoSpaceDN/>
        <w:bidi w:val="0"/>
        <w:adjustRightInd/>
        <w:snapToGrid/>
        <w:spacing w:line="560" w:lineRule="exact"/>
        <w:jc w:val="left"/>
        <w:textAlignment w:val="auto"/>
        <w:rPr>
          <w:rFonts w:ascii="黑体" w:hAnsi="黑体" w:eastAsia="黑体"/>
          <w:sz w:val="32"/>
          <w:szCs w:val="32"/>
        </w:rPr>
        <w:sectPr>
          <w:headerReference r:id="rId3" w:type="default"/>
          <w:footerReference r:id="rId5" w:type="default"/>
          <w:headerReference r:id="rId4" w:type="even"/>
          <w:footerReference r:id="rId6" w:type="even"/>
          <w:pgSz w:w="11906" w:h="16838"/>
          <w:pgMar w:top="1440" w:right="1800" w:bottom="1440" w:left="1800" w:header="851" w:footer="992" w:gutter="0"/>
          <w:cols w:space="425" w:num="1"/>
          <w:docGrid w:type="lines" w:linePitch="312" w:charSpace="0"/>
        </w:sectPr>
      </w:pP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凭证规范材料汇总</w:t>
      </w:r>
    </w:p>
    <w:tbl>
      <w:tblPr>
        <w:tblStyle w:val="7"/>
        <w:tblW w:w="1411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55"/>
        <w:gridCol w:w="1257"/>
        <w:gridCol w:w="4455"/>
        <w:gridCol w:w="3254"/>
        <w:gridCol w:w="36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分类</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填报依据</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具体内容</w:t>
            </w:r>
          </w:p>
        </w:tc>
        <w:tc>
          <w:tcPr>
            <w:tcW w:w="694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i w:val="0"/>
                <w:color w:val="000000"/>
                <w:sz w:val="22"/>
                <w:szCs w:val="22"/>
                <w:u w:val="none"/>
              </w:rPr>
            </w:pPr>
            <w:r>
              <w:rPr>
                <w:rFonts w:hint="eastAsia" w:ascii="宋体" w:hAnsi="宋体" w:eastAsia="宋体" w:cs="宋体"/>
                <w:b/>
                <w:i w:val="0"/>
                <w:color w:val="000000"/>
                <w:kern w:val="0"/>
                <w:sz w:val="22"/>
                <w:szCs w:val="22"/>
                <w:u w:val="none"/>
                <w:lang w:val="en-US" w:eastAsia="zh-CN" w:bidi="ar"/>
              </w:rPr>
              <w:t>注意事项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建筑安装工程填报凭证</w:t>
            </w: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形象进度法</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工程支付审批表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需加盖三方签章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取监理方核定后的工程量或产值金额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三方签字盖章的结算单或进度单</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签字盖章工程量及计价明细</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附建筑工程合同页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财务支出法</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在建工程科目余额表下，“建筑工程”“安装工程”本年借方累计发生额</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需加盖公章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附大额发票或回单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支付明细账</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需加盖公章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标出数据来源，明确加总过程，并附大额发票（支付明细单笔200万元以上）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工程款发票凭证</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附施工合同，将所有发票或支付凭证按时间排列并提供汇总清单</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银行回单、承兑汇票等不能单独做为支付凭证，需一并提供其对应的会计科目。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设备工器具购置凭证</w:t>
            </w:r>
          </w:p>
        </w:tc>
        <w:tc>
          <w:tcPr>
            <w:tcW w:w="12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财务报表</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“在建工程——在安装设备”科目余额表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需加盖公章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大额设备购置发票（超过200万）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6"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“固定资产”科目及其以下相关科目本年累计设备发生额或会计分录借方累计发生额，设备明细账应注明取数科目及数据加总过程</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需加盖公章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大额设备购置发票（超过200万）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支付凭证</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设备购置所有发票或支付凭证按时间排列、汇总计算</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附设备购置清单及合计</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45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其他费用</w:t>
            </w: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财务报表</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“在建工程——待摊支出”、“无形资产——土地使用权”科目余额表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需加盖公章</w:t>
            </w: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土地费用支付凭证</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土地购置发票或统一财政票据。</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利息</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需提供支付利息的凭证</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45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2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增值税</w:t>
            </w:r>
          </w:p>
        </w:tc>
        <w:tc>
          <w:tcPr>
            <w:tcW w:w="4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需提供与项目相关的大额发票</w:t>
            </w:r>
          </w:p>
        </w:tc>
        <w:tc>
          <w:tcPr>
            <w:tcW w:w="32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c>
          <w:tcPr>
            <w:tcW w:w="369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0"/>
                <w:szCs w:val="20"/>
                <w:u w:val="none"/>
              </w:rPr>
            </w:pPr>
          </w:p>
        </w:tc>
      </w:tr>
    </w:tbl>
    <w:p>
      <w:pPr>
        <w:pStyle w:val="4"/>
        <w:rPr>
          <w:rFonts w:hint="eastAsia"/>
          <w:lang w:eastAsia="zh-CN"/>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黑体" w:hAnsi="黑体" w:eastAsia="黑体"/>
          <w:sz w:val="32"/>
          <w:szCs w:val="32"/>
        </w:rPr>
      </w:pPr>
      <w:r>
        <w:rPr>
          <w:rFonts w:hint="eastAsia" w:ascii="黑体" w:hAnsi="黑体" w:eastAsia="黑体"/>
          <w:sz w:val="32"/>
          <w:szCs w:val="32"/>
          <w:lang w:eastAsia="zh-CN"/>
        </w:rPr>
        <w:t>凭证部分重点内容及要求</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凭证内容：包括两部分：（一）填报依据汇总表、（二）填报依据。（</w:t>
      </w:r>
      <w:r>
        <w:rPr>
          <w:rFonts w:hint="eastAsia" w:ascii="黑体" w:hAnsi="黑体" w:eastAsia="黑体" w:cs="黑体"/>
          <w:color w:val="auto"/>
          <w:sz w:val="32"/>
          <w:szCs w:val="32"/>
          <w:lang w:val="en-US" w:eastAsia="zh-CN"/>
        </w:rPr>
        <w:t>见附件：</w:t>
      </w:r>
      <w:r>
        <w:rPr>
          <w:rFonts w:hint="eastAsia" w:ascii="仿宋_GB2312" w:hAnsi="Calibri" w:eastAsia="仿宋_GB2312" w:cs="Times New Roman"/>
          <w:sz w:val="32"/>
          <w:szCs w:val="32"/>
          <w:lang w:val="en-US" w:eastAsia="zh-CN"/>
        </w:rPr>
        <w:t>固定资产投资项目凭证样板）</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要求：项目单位需对照月报《固定资产投资项目情况》表填报的“本年完成投资”“按构成分：（一）建安工程（建筑工程+安装工程）、（二）设备工器具购置、（三）其他费用”分类整理。</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其中：</w:t>
      </w:r>
      <w:r>
        <w:rPr>
          <w:rFonts w:hint="eastAsia" w:ascii="楷体_GB2312" w:hAnsi="楷体_GB2312" w:eastAsia="楷体_GB2312" w:cs="楷体_GB2312"/>
          <w:snapToGrid/>
          <w:kern w:val="2"/>
          <w:sz w:val="32"/>
          <w:szCs w:val="32"/>
          <w:lang w:val="en-US" w:eastAsia="zh-CN" w:bidi="ar-SA"/>
        </w:rPr>
        <w:t>（一）建安工程凭证为：</w:t>
      </w:r>
    </w:p>
    <w:p>
      <w:pPr>
        <w:spacing w:line="560" w:lineRule="exact"/>
        <w:ind w:firstLine="640" w:firstLineChars="200"/>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1、工程支付审批表或工程结算单、进度单</w:t>
      </w:r>
    </w:p>
    <w:p>
      <w:pPr>
        <w:spacing w:line="560" w:lineRule="exact"/>
        <w:ind w:firstLine="640" w:firstLineChars="200"/>
        <w:jc w:val="left"/>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2、会计科目或支付凭证</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注意：如《固定资产投资项目情况》表“建筑安装工程填报依据”选择“1按工程结算单或进度单”的，对应“建安工程”凭证需</w:t>
      </w:r>
      <w:r>
        <w:rPr>
          <w:rFonts w:hint="eastAsia" w:ascii="仿宋_GB2312" w:hAnsi="Calibri" w:eastAsia="仿宋_GB2312" w:cs="Times New Roman"/>
          <w:sz w:val="32"/>
          <w:szCs w:val="32"/>
          <w:u w:val="single"/>
          <w:lang w:val="en-US" w:eastAsia="zh-CN"/>
        </w:rPr>
        <w:t>提供“项目形象进度确认单”并加盖三方签章（建设单位、监理单位、施工单位）</w:t>
      </w:r>
      <w:r>
        <w:rPr>
          <w:rFonts w:hint="eastAsia" w:ascii="仿宋_GB2312" w:hAnsi="Calibri" w:eastAsia="仿宋_GB2312" w:cs="Times New Roman"/>
          <w:sz w:val="32"/>
          <w:szCs w:val="32"/>
          <w:lang w:val="en-US" w:eastAsia="zh-CN"/>
        </w:rPr>
        <w:t>的正式文本，并附上建筑工程合同，其他不予认可。</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选择“2 会计科目或支付凭证”的，对应“建安工程”凭证内容尽量使用科目余额表等财务报表，需标注取数科目（对应会计科目为在建工程——建筑安装工程的本年借方累计发生额，并附上大额发票或回单。未设置建筑安装工程科目提供支付明细账的，需</w:t>
      </w:r>
      <w:r>
        <w:rPr>
          <w:rFonts w:hint="eastAsia" w:ascii="仿宋_GB2312" w:hAnsi="Calibri" w:eastAsia="仿宋_GB2312" w:cs="Times New Roman"/>
          <w:sz w:val="32"/>
          <w:szCs w:val="32"/>
          <w:u w:val="single"/>
          <w:lang w:val="en-US" w:eastAsia="zh-CN"/>
        </w:rPr>
        <w:t>标出所取数据，并明确数据加减汇总过程，并附上200万元以上的发票）。</w:t>
      </w:r>
      <w:r>
        <w:rPr>
          <w:rFonts w:hint="eastAsia" w:ascii="仿宋_GB2312" w:hAnsi="Calibri" w:eastAsia="仿宋_GB2312" w:cs="Times New Roman"/>
          <w:sz w:val="32"/>
          <w:szCs w:val="32"/>
          <w:lang w:val="en-US" w:eastAsia="zh-CN"/>
        </w:rPr>
        <w:t>报送发票的，需分类整理，并列示发票清单及汇总数。仅报送电子回单等付款凭证的，必须提供相应会计科目。提供支付凭证的，应将凭证分类汇总。</w:t>
      </w:r>
      <w:r>
        <w:rPr>
          <w:rFonts w:hint="eastAsia" w:ascii="仿宋_GB2312" w:hAnsi="Calibri" w:eastAsia="仿宋_GB2312" w:cs="Times New Roman"/>
          <w:sz w:val="32"/>
          <w:szCs w:val="32"/>
          <w:u w:val="single"/>
          <w:lang w:val="en-US" w:eastAsia="zh-CN"/>
        </w:rPr>
        <w:t>提供资料应加盖单位公章。</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（二）设备工器具购置凭证为：会计账目或相关支付凭证</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提供会计账目的，对应科目为在建工程——在安装设备及固定资产下相关科目的本年借方累计发生额或相关会计分录借方发生额加总填报，</w:t>
      </w:r>
      <w:r>
        <w:rPr>
          <w:rFonts w:hint="eastAsia" w:ascii="仿宋_GB2312" w:hAnsi="Calibri" w:eastAsia="仿宋_GB2312" w:cs="Times New Roman"/>
          <w:sz w:val="32"/>
          <w:szCs w:val="32"/>
          <w:u w:val="single"/>
          <w:lang w:val="en-US" w:eastAsia="zh-CN"/>
        </w:rPr>
        <w:t>提供明细账的应注明取数科目及数据加总过程。加盖单位公章。</w:t>
      </w:r>
    </w:p>
    <w:p>
      <w:pPr>
        <w:keepNext w:val="0"/>
        <w:keepLines w:val="0"/>
        <w:pageBreakBefore w:val="0"/>
        <w:kinsoku/>
        <w:wordWrap/>
        <w:overflowPunct/>
        <w:topLinePunct w:val="0"/>
        <w:autoSpaceDE/>
        <w:autoSpaceDN/>
        <w:bidi w:val="0"/>
        <w:adjustRightInd/>
        <w:snapToGrid/>
        <w:spacing w:line="560" w:lineRule="exact"/>
        <w:ind w:firstLine="640" w:firstLineChars="200"/>
        <w:rPr>
          <w:rFonts w:ascii="仿宋_GB2312" w:eastAsia="仿宋_GB2312"/>
          <w:sz w:val="32"/>
          <w:szCs w:val="32"/>
          <w:u w:val="single"/>
        </w:rPr>
      </w:pPr>
      <w:r>
        <w:rPr>
          <w:rFonts w:hint="eastAsia" w:ascii="仿宋_GB2312" w:hAnsi="Calibri" w:eastAsia="仿宋_GB2312" w:cs="Times New Roman"/>
          <w:sz w:val="32"/>
          <w:szCs w:val="32"/>
          <w:lang w:val="en-US" w:eastAsia="zh-CN"/>
        </w:rPr>
        <w:t>提供相关支付凭证的，应将凭证</w:t>
      </w:r>
      <w:r>
        <w:rPr>
          <w:rFonts w:hint="eastAsia" w:ascii="仿宋_GB2312" w:hAnsi="Calibri" w:eastAsia="仿宋_GB2312" w:cs="Times New Roman"/>
          <w:sz w:val="32"/>
          <w:szCs w:val="32"/>
          <w:u w:val="single"/>
          <w:lang w:val="en-US" w:eastAsia="zh-CN"/>
        </w:rPr>
        <w:t>分类汇总，并按照时间排列。有多项设备购置的，需提供设备购置明细清单。支付凭证未标明用途的，应当在文档中进行说明。</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（三）其他费用凭证为：会计账目或相关支付凭证</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其中：建设用地费凭证主要有两种：</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1、提供会计账目的，对应科目为：在建工程——待摊支出、无形资产——土地使用权等的借方累计或相关会计分录借方发生额加总填报。提供“在建工程——待摊支出”余额表的，应展开“在建工程”下科目，核实是否有多个在建项目，并标注用于本项目的待摊支出；对于一个企业有多个项目的，需明晰该“土地使用权”供几个项目使用，并按照实际使用面积进行分摊。</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u w:val="single"/>
          <w:lang w:val="en-US" w:eastAsia="zh-CN"/>
        </w:rPr>
      </w:pPr>
      <w:r>
        <w:rPr>
          <w:rFonts w:hint="eastAsia" w:ascii="仿宋_GB2312" w:hAnsi="Calibri" w:eastAsia="仿宋_GB2312" w:cs="Times New Roman"/>
          <w:sz w:val="32"/>
          <w:szCs w:val="32"/>
          <w:u w:val="single"/>
          <w:lang w:val="en-US" w:eastAsia="zh-CN"/>
        </w:rPr>
        <w:t>提供支付明细账的应注明取数科目及数据加总过程。加盖单位公章。</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u w:val="single"/>
          <w:lang w:val="en-US" w:eastAsia="zh-CN"/>
        </w:rPr>
      </w:pPr>
      <w:r>
        <w:rPr>
          <w:rFonts w:hint="eastAsia" w:ascii="仿宋_GB2312" w:hAnsi="Calibri" w:eastAsia="仿宋_GB2312" w:cs="Times New Roman"/>
          <w:sz w:val="32"/>
          <w:szCs w:val="32"/>
          <w:lang w:val="en-US" w:eastAsia="zh-CN"/>
        </w:rPr>
        <w:t>2、</w:t>
      </w:r>
      <w:r>
        <w:rPr>
          <w:rFonts w:hint="eastAsia" w:ascii="仿宋_GB2312" w:hAnsi="Calibri" w:eastAsia="仿宋_GB2312" w:cs="Times New Roman"/>
          <w:sz w:val="32"/>
          <w:szCs w:val="32"/>
          <w:u w:val="single"/>
          <w:lang w:val="en-US" w:eastAsia="zh-CN"/>
        </w:rPr>
        <w:t>提供支付凭证的，应将凭证分类汇总，并按时间排列。</w:t>
      </w:r>
    </w:p>
    <w:p>
      <w:pPr>
        <w:keepNext w:val="0"/>
        <w:keepLines w:val="0"/>
        <w:pageBreakBefore w:val="0"/>
        <w:numPr>
          <w:ilvl w:val="0"/>
          <w:numId w:val="1"/>
        </w:numPr>
        <w:kinsoku/>
        <w:wordWrap/>
        <w:overflowPunct/>
        <w:topLinePunct w:val="0"/>
        <w:autoSpaceDE/>
        <w:autoSpaceDN/>
        <w:bidi w:val="0"/>
        <w:adjustRightInd/>
        <w:snapToGrid/>
        <w:spacing w:line="560" w:lineRule="exact"/>
        <w:ind w:left="-10" w:leftChars="0" w:firstLine="640" w:firstLineChars="0"/>
        <w:jc w:val="left"/>
        <w:rPr>
          <w:rFonts w:hint="eastAsia" w:ascii="黑体" w:hAnsi="黑体" w:eastAsia="黑体"/>
          <w:sz w:val="32"/>
          <w:szCs w:val="32"/>
          <w:lang w:eastAsia="zh-CN"/>
        </w:rPr>
      </w:pPr>
      <w:r>
        <w:rPr>
          <w:rFonts w:hint="eastAsia" w:ascii="黑体" w:hAnsi="黑体" w:eastAsia="黑体" w:cs="Times New Roman"/>
          <w:sz w:val="32"/>
          <w:szCs w:val="32"/>
          <w:lang w:eastAsia="zh-CN"/>
        </w:rPr>
        <w:t>其他</w:t>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Calibri" w:eastAsia="仿宋_GB2312" w:cs="Times New Roman"/>
          <w:sz w:val="32"/>
          <w:szCs w:val="32"/>
          <w:lang w:val="en-US" w:eastAsia="zh-CN"/>
        </w:rPr>
      </w:pPr>
      <w:r>
        <w:rPr>
          <w:rFonts w:hint="eastAsia" w:ascii="仿宋_GB2312" w:hAnsi="Calibri" w:eastAsia="仿宋_GB2312" w:cs="Times New Roman"/>
          <w:sz w:val="32"/>
          <w:szCs w:val="32"/>
          <w:lang w:val="en-US" w:eastAsia="zh-CN"/>
        </w:rPr>
        <w:t>1、新入库项目第一期报表允许把入库前发生的其他费用一次性填报，但建安费用仅可填报本年投资。</w:t>
      </w:r>
    </w:p>
    <w:p>
      <w:pPr>
        <w:keepNext w:val="0"/>
        <w:keepLines w:val="0"/>
        <w:pageBreakBefore w:val="0"/>
        <w:kinsoku/>
        <w:wordWrap/>
        <w:overflowPunct/>
        <w:topLinePunct w:val="0"/>
        <w:autoSpaceDE/>
        <w:autoSpaceDN/>
        <w:bidi w:val="0"/>
        <w:adjustRightInd/>
        <w:snapToGrid/>
        <w:spacing w:line="560" w:lineRule="exact"/>
        <w:jc w:val="left"/>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rPr>
          <w:rFonts w:ascii="黑体" w:hAnsi="黑体" w:eastAsia="黑体"/>
          <w:sz w:val="32"/>
          <w:szCs w:val="32"/>
        </w:rPr>
      </w:pPr>
    </w:p>
    <w:p>
      <w:pPr>
        <w:rPr>
          <w:rFonts w:ascii="黑体" w:hAnsi="黑体" w:eastAsia="黑体"/>
          <w:sz w:val="32"/>
          <w:szCs w:val="32"/>
        </w:rPr>
      </w:pPr>
    </w:p>
    <w:p>
      <w:pPr>
        <w:pStyle w:val="2"/>
      </w:pPr>
    </w:p>
    <w:p>
      <w:pPr>
        <w:keepNext w:val="0"/>
        <w:keepLines w:val="0"/>
        <w:pageBreakBefore w:val="0"/>
        <w:kinsoku/>
        <w:wordWrap/>
        <w:overflowPunct/>
        <w:topLinePunct w:val="0"/>
        <w:autoSpaceDE/>
        <w:autoSpaceDN/>
        <w:bidi w:val="0"/>
        <w:adjustRightInd/>
        <w:snapToGrid/>
        <w:spacing w:line="560" w:lineRule="exact"/>
        <w:jc w:val="both"/>
        <w:rPr>
          <w:rFonts w:hint="default" w:ascii="黑体" w:hAnsi="黑体" w:eastAsia="黑体" w:cs="黑体"/>
          <w:sz w:val="32"/>
          <w:szCs w:val="32"/>
          <w:lang w:val="en-US" w:eastAsia="zh-CN"/>
        </w:rPr>
      </w:pPr>
      <w:r>
        <w:rPr>
          <w:rFonts w:hint="eastAsia" w:ascii="黑体" w:hAnsi="黑体" w:eastAsia="黑体" w:cs="黑体"/>
          <w:sz w:val="32"/>
          <w:szCs w:val="32"/>
          <w:lang w:val="en-US" w:eastAsia="zh-CN"/>
        </w:rPr>
        <w:t>附件</w:t>
      </w:r>
    </w:p>
    <w:p>
      <w:pPr>
        <w:keepNext w:val="0"/>
        <w:keepLines w:val="0"/>
        <w:pageBreakBefore w:val="0"/>
        <w:kinsoku/>
        <w:wordWrap/>
        <w:overflowPunct/>
        <w:topLinePunct w:val="0"/>
        <w:autoSpaceDE/>
        <w:autoSpaceDN/>
        <w:bidi w:val="0"/>
        <w:adjustRightInd/>
        <w:snapToGrid/>
        <w:spacing w:line="560" w:lineRule="exact"/>
        <w:jc w:val="left"/>
        <w:rPr>
          <w:rFonts w:ascii="黑体" w:hAnsi="黑体" w:eastAsia="黑体"/>
          <w:sz w:val="32"/>
          <w:szCs w:val="32"/>
        </w:rPr>
      </w:pPr>
    </w:p>
    <w:p>
      <w:pPr>
        <w:spacing w:line="560" w:lineRule="exact"/>
        <w:jc w:val="center"/>
        <w:rPr>
          <w:rFonts w:hint="eastAsia" w:cs="Times New Roman" w:asciiTheme="majorEastAsia" w:hAnsiTheme="majorEastAsia" w:eastAsiaTheme="majorEastAsia"/>
          <w:bCs/>
          <w:sz w:val="44"/>
          <w:szCs w:val="44"/>
          <w:lang w:eastAsia="zh-CN"/>
        </w:rPr>
      </w:pPr>
      <w:r>
        <w:rPr>
          <w:rFonts w:hint="eastAsia" w:cs="Times New Roman" w:asciiTheme="majorEastAsia" w:hAnsiTheme="majorEastAsia" w:eastAsiaTheme="majorEastAsia"/>
          <w:bCs/>
          <w:sz w:val="44"/>
          <w:szCs w:val="44"/>
          <w:lang w:eastAsia="zh-CN"/>
        </w:rPr>
        <w:t>固定资产投资项目凭证样板</w:t>
      </w:r>
    </w:p>
    <w:p>
      <w:pPr>
        <w:pStyle w:val="3"/>
        <w:rPr>
          <w:rFonts w:hint="eastAsia"/>
          <w:lang w:eastAsia="zh-CN"/>
        </w:rPr>
      </w:pPr>
    </w:p>
    <w:tbl>
      <w:tblPr>
        <w:tblStyle w:val="7"/>
        <w:tblW w:w="8080" w:type="dxa"/>
        <w:tblInd w:w="0" w:type="dxa"/>
        <w:tblLayout w:type="fixed"/>
        <w:tblCellMar>
          <w:top w:w="0" w:type="dxa"/>
          <w:left w:w="0" w:type="dxa"/>
          <w:bottom w:w="0" w:type="dxa"/>
          <w:right w:w="0" w:type="dxa"/>
        </w:tblCellMar>
      </w:tblPr>
      <w:tblGrid>
        <w:gridCol w:w="2065"/>
        <w:gridCol w:w="2869"/>
        <w:gridCol w:w="1504"/>
        <w:gridCol w:w="1642"/>
      </w:tblGrid>
      <w:tr>
        <w:tblPrEx>
          <w:tblCellMar>
            <w:top w:w="0" w:type="dxa"/>
            <w:left w:w="0" w:type="dxa"/>
            <w:bottom w:w="0" w:type="dxa"/>
            <w:right w:w="0" w:type="dxa"/>
          </w:tblCellMar>
        </w:tblPrEx>
        <w:trPr>
          <w:trHeight w:val="863" w:hRule="atLeast"/>
        </w:trPr>
        <w:tc>
          <w:tcPr>
            <w:tcW w:w="8080" w:type="dxa"/>
            <w:gridSpan w:val="4"/>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ind w:firstLine="640" w:firstLineChars="200"/>
              <w:jc w:val="both"/>
              <w:rPr>
                <w:rFonts w:ascii="方正小标宋_GBK" w:eastAsia="方正小标宋_GBK"/>
                <w:bCs/>
                <w:sz w:val="44"/>
                <w:szCs w:val="44"/>
              </w:rPr>
            </w:pPr>
            <w:r>
              <w:rPr>
                <w:rFonts w:hint="eastAsia" w:ascii="黑体" w:hAnsi="黑体" w:eastAsia="黑体" w:cs="Times New Roman"/>
                <w:sz w:val="32"/>
                <w:szCs w:val="32"/>
                <w:lang w:eastAsia="zh-CN"/>
              </w:rPr>
              <w:t>一、填报依据汇总表</w:t>
            </w:r>
          </w:p>
        </w:tc>
      </w:tr>
      <w:tr>
        <w:tblPrEx>
          <w:tblCellMar>
            <w:top w:w="0" w:type="dxa"/>
            <w:left w:w="0" w:type="dxa"/>
            <w:bottom w:w="0" w:type="dxa"/>
            <w:right w:w="0" w:type="dxa"/>
          </w:tblCellMar>
        </w:tblPrEx>
        <w:trPr>
          <w:trHeight w:val="297" w:hRule="atLeast"/>
        </w:trPr>
        <w:tc>
          <w:tcPr>
            <w:tcW w:w="2065"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项目名称</w:t>
            </w:r>
          </w:p>
        </w:tc>
        <w:tc>
          <w:tcPr>
            <w:tcW w:w="2869"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****项目</w:t>
            </w:r>
          </w:p>
        </w:tc>
        <w:tc>
          <w:tcPr>
            <w:tcW w:w="1504"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p>
        </w:tc>
        <w:tc>
          <w:tcPr>
            <w:tcW w:w="1642"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p>
        </w:tc>
      </w:tr>
      <w:tr>
        <w:tblPrEx>
          <w:tblCellMar>
            <w:top w:w="0" w:type="dxa"/>
            <w:left w:w="0" w:type="dxa"/>
            <w:bottom w:w="0" w:type="dxa"/>
            <w:right w:w="0" w:type="dxa"/>
          </w:tblCellMar>
        </w:tblPrEx>
        <w:trPr>
          <w:trHeight w:val="297" w:hRule="atLeast"/>
        </w:trPr>
        <w:tc>
          <w:tcPr>
            <w:tcW w:w="2065"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项目代码</w:t>
            </w:r>
          </w:p>
        </w:tc>
        <w:tc>
          <w:tcPr>
            <w:tcW w:w="2869"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lang w:val="en-US" w:eastAsia="zh-CN"/>
              </w:rPr>
            </w:pPr>
            <w:r>
              <w:rPr>
                <w:rFonts w:hint="eastAsia" w:ascii="仿宋_GB2312" w:hAnsi="仿宋_GB2312" w:eastAsia="仿宋_GB2312" w:cs="仿宋_GB2312"/>
                <w:color w:val="000000"/>
                <w:sz w:val="22"/>
                <w:szCs w:val="22"/>
                <w:lang w:val="en-US" w:eastAsia="zh-CN"/>
              </w:rPr>
              <w:t>123456789440305001</w:t>
            </w:r>
          </w:p>
        </w:tc>
        <w:tc>
          <w:tcPr>
            <w:tcW w:w="1504"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p>
        </w:tc>
        <w:tc>
          <w:tcPr>
            <w:tcW w:w="1642" w:type="dxa"/>
            <w:tcBorders>
              <w:top w:val="nil"/>
              <w:left w:val="nil"/>
              <w:bottom w:val="nil"/>
              <w:right w:val="nil"/>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color w:val="000000"/>
                <w:sz w:val="22"/>
                <w:szCs w:val="22"/>
              </w:rPr>
            </w:pPr>
          </w:p>
        </w:tc>
      </w:tr>
      <w:tr>
        <w:tblPrEx>
          <w:tblCellMar>
            <w:top w:w="0" w:type="dxa"/>
            <w:left w:w="0" w:type="dxa"/>
            <w:bottom w:w="0" w:type="dxa"/>
            <w:right w:w="0" w:type="dxa"/>
          </w:tblCellMar>
        </w:tblPrEx>
        <w:trPr>
          <w:trHeight w:val="391"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按构成分</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凭证类型</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sz w:val="24"/>
              </w:rPr>
              <w:t>依据张数</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4"/>
              </w:rPr>
            </w:pPr>
            <w:r>
              <w:rPr>
                <w:rFonts w:hint="eastAsia" w:ascii="仿宋_GB2312" w:hAnsi="仿宋_GB2312" w:eastAsia="仿宋_GB2312" w:cs="仿宋_GB2312"/>
                <w:color w:val="000000"/>
                <w:kern w:val="0"/>
                <w:sz w:val="24"/>
              </w:rPr>
              <w:t>投资额（万元）</w:t>
            </w:r>
          </w:p>
        </w:tc>
      </w:tr>
      <w:tr>
        <w:tblPrEx>
          <w:tblCellMar>
            <w:top w:w="0" w:type="dxa"/>
            <w:left w:w="0" w:type="dxa"/>
            <w:bottom w:w="0" w:type="dxa"/>
            <w:right w:w="0" w:type="dxa"/>
          </w:tblCellMar>
        </w:tblPrEx>
        <w:trPr>
          <w:trHeight w:val="589"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建筑安装工程</w:t>
            </w: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2"/>
                <w:szCs w:val="22"/>
              </w:rPr>
              <w:t>（b108+b109）</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4"/>
              </w:rPr>
            </w:pPr>
            <w:r>
              <w:rPr>
                <w:rFonts w:hint="eastAsia" w:ascii="仿宋_GB2312" w:hAnsi="仿宋_GB2312" w:eastAsia="仿宋_GB2312" w:cs="仿宋_GB2312"/>
                <w:color w:val="000000"/>
                <w:kern w:val="0"/>
                <w:sz w:val="22"/>
                <w:szCs w:val="22"/>
              </w:rPr>
              <w:t>三方签章结算单或会计账或支付凭证</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2122</w:t>
            </w:r>
          </w:p>
        </w:tc>
      </w:tr>
      <w:tr>
        <w:tblPrEx>
          <w:tblCellMar>
            <w:top w:w="0" w:type="dxa"/>
            <w:left w:w="0" w:type="dxa"/>
            <w:bottom w:w="0" w:type="dxa"/>
            <w:right w:w="0" w:type="dxa"/>
          </w:tblCellMar>
        </w:tblPrEx>
        <w:trPr>
          <w:trHeight w:val="589"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设备工器具购置</w:t>
            </w:r>
          </w:p>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B110</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会计明细账或支付凭证</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12</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25.16</w:t>
            </w:r>
          </w:p>
        </w:tc>
      </w:tr>
      <w:tr>
        <w:tblPrEx>
          <w:tblCellMar>
            <w:top w:w="0" w:type="dxa"/>
            <w:left w:w="0" w:type="dxa"/>
            <w:bottom w:w="0" w:type="dxa"/>
            <w:right w:w="0" w:type="dxa"/>
          </w:tblCellMar>
        </w:tblPrEx>
        <w:trPr>
          <w:trHeight w:val="391"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其他费用（b112）</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会计明细账或支付凭证</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1050</w:t>
            </w:r>
          </w:p>
        </w:tc>
      </w:tr>
      <w:tr>
        <w:tblPrEx>
          <w:tblCellMar>
            <w:top w:w="0" w:type="dxa"/>
            <w:left w:w="0" w:type="dxa"/>
            <w:bottom w:w="0" w:type="dxa"/>
            <w:right w:w="0" w:type="dxa"/>
          </w:tblCellMar>
        </w:tblPrEx>
        <w:trPr>
          <w:trHeight w:val="589"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其中：建设用地费（b114）</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会计账或支付凭证</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2</w:t>
            </w: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1050</w:t>
            </w:r>
          </w:p>
        </w:tc>
      </w:tr>
      <w:tr>
        <w:tblPrEx>
          <w:tblCellMar>
            <w:top w:w="0" w:type="dxa"/>
            <w:left w:w="0" w:type="dxa"/>
            <w:bottom w:w="0" w:type="dxa"/>
            <w:right w:w="0" w:type="dxa"/>
          </w:tblCellMar>
        </w:tblPrEx>
        <w:trPr>
          <w:trHeight w:val="400" w:hRule="atLeast"/>
        </w:trPr>
        <w:tc>
          <w:tcPr>
            <w:tcW w:w="206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kern w:val="0"/>
                <w:sz w:val="22"/>
                <w:szCs w:val="22"/>
              </w:rPr>
            </w:pPr>
            <w:r>
              <w:rPr>
                <w:rFonts w:hint="eastAsia" w:ascii="仿宋_GB2312" w:hAnsi="仿宋_GB2312" w:eastAsia="仿宋_GB2312" w:cs="仿宋_GB2312"/>
                <w:color w:val="000000"/>
                <w:kern w:val="0"/>
                <w:sz w:val="22"/>
                <w:szCs w:val="22"/>
              </w:rPr>
              <w:t>本年完成投资（b107）</w:t>
            </w:r>
          </w:p>
        </w:tc>
        <w:tc>
          <w:tcPr>
            <w:tcW w:w="286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560" w:lineRule="exact"/>
              <w:jc w:val="center"/>
              <w:textAlignment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kern w:val="0"/>
                <w:sz w:val="22"/>
                <w:szCs w:val="22"/>
              </w:rPr>
              <w:t>合计</w:t>
            </w:r>
          </w:p>
        </w:tc>
        <w:tc>
          <w:tcPr>
            <w:tcW w:w="15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p>
        </w:tc>
        <w:tc>
          <w:tcPr>
            <w:tcW w:w="16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pageBreakBefore w:val="0"/>
              <w:kinsoku/>
              <w:wordWrap/>
              <w:overflowPunct/>
              <w:topLinePunct w:val="0"/>
              <w:autoSpaceDE/>
              <w:autoSpaceDN/>
              <w:bidi w:val="0"/>
              <w:adjustRightInd/>
              <w:snapToGrid/>
              <w:spacing w:line="560" w:lineRule="exact"/>
              <w:jc w:val="center"/>
              <w:rPr>
                <w:rFonts w:hint="eastAsia" w:ascii="仿宋_GB2312" w:hAnsi="仿宋_GB2312" w:eastAsia="仿宋_GB2312" w:cs="仿宋_GB2312"/>
                <w:color w:val="000000"/>
                <w:sz w:val="22"/>
                <w:szCs w:val="22"/>
              </w:rPr>
            </w:pPr>
            <w:r>
              <w:rPr>
                <w:rFonts w:hint="eastAsia" w:ascii="仿宋_GB2312" w:hAnsi="仿宋_GB2312" w:eastAsia="仿宋_GB2312" w:cs="仿宋_GB2312"/>
                <w:color w:val="000000"/>
                <w:sz w:val="22"/>
                <w:szCs w:val="22"/>
              </w:rPr>
              <w:t>3197.16</w:t>
            </w:r>
          </w:p>
        </w:tc>
      </w:tr>
    </w:tbl>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 xml:space="preserve">调查对象联系人：        电话：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Times New Roman"/>
          <w:sz w:val="32"/>
          <w:szCs w:val="32"/>
          <w:lang w:eastAsia="zh-CN"/>
        </w:rPr>
      </w:pPr>
      <w:r>
        <w:rPr>
          <w:rFonts w:hint="eastAsia" w:ascii="黑体" w:hAnsi="黑体" w:eastAsia="黑体" w:cs="Times New Roman"/>
          <w:sz w:val="32"/>
          <w:szCs w:val="32"/>
          <w:lang w:eastAsia="zh-CN"/>
        </w:rPr>
        <w:t>二、填报依据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（一）建筑安装工程凭证（  1  张， 2122   万元）</w:t>
      </w:r>
    </w:p>
    <w:p>
      <w:pPr>
        <w:keepNext w:val="0"/>
        <w:keepLines w:val="0"/>
        <w:pageBreakBefore w:val="0"/>
        <w:kinsoku/>
        <w:wordWrap/>
        <w:overflowPunct/>
        <w:topLinePunct w:val="0"/>
        <w:autoSpaceDE/>
        <w:autoSpaceDN/>
        <w:bidi w:val="0"/>
        <w:adjustRightInd/>
        <w:snapToGrid/>
        <w:spacing w:line="240" w:lineRule="auto"/>
        <w:ind w:firstLine="420" w:firstLineChars="200"/>
        <w:jc w:val="left"/>
      </w:pPr>
    </w:p>
    <w:p>
      <w:pPr>
        <w:keepNext w:val="0"/>
        <w:keepLines w:val="0"/>
        <w:pageBreakBefore w:val="0"/>
        <w:kinsoku/>
        <w:wordWrap/>
        <w:overflowPunct/>
        <w:topLinePunct w:val="0"/>
        <w:autoSpaceDE/>
        <w:autoSpaceDN/>
        <w:bidi w:val="0"/>
        <w:adjustRightInd/>
        <w:snapToGrid/>
        <w:spacing w:line="240" w:lineRule="auto"/>
        <w:ind w:firstLine="420" w:firstLineChars="200"/>
        <w:jc w:val="left"/>
      </w:pPr>
      <w:r>
        <w:drawing>
          <wp:inline distT="0" distB="0" distL="114300" distR="114300">
            <wp:extent cx="4665980" cy="1685925"/>
            <wp:effectExtent l="0" t="0" r="127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rcRect b="11500"/>
                    <a:stretch>
                      <a:fillRect/>
                    </a:stretch>
                  </pic:blipFill>
                  <pic:spPr>
                    <a:xfrm>
                      <a:off x="0" y="0"/>
                      <a:ext cx="4665980" cy="16859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（二）设备工器具购置凭证（ 12 张， 25.16 万元）</w:t>
      </w:r>
    </w:p>
    <w:p>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sz w:val="28"/>
          <w:szCs w:val="28"/>
        </w:rPr>
      </w:pPr>
      <w:r>
        <w:drawing>
          <wp:inline distT="0" distB="0" distL="114300" distR="114300">
            <wp:extent cx="5272405" cy="1586230"/>
            <wp:effectExtent l="0" t="0" r="4445"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272405" cy="15862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设备发票：</w:t>
      </w:r>
    </w:p>
    <w:p>
      <w:pPr>
        <w:keepNext w:val="0"/>
        <w:keepLines w:val="0"/>
        <w:pageBreakBefore w:val="0"/>
        <w:kinsoku/>
        <w:wordWrap/>
        <w:overflowPunct/>
        <w:topLinePunct w:val="0"/>
        <w:autoSpaceDE/>
        <w:autoSpaceDN/>
        <w:bidi w:val="0"/>
        <w:adjustRightInd/>
        <w:snapToGrid/>
        <w:spacing w:line="240" w:lineRule="auto"/>
        <w:ind w:firstLine="420" w:firstLineChars="200"/>
        <w:rPr>
          <w:rFonts w:hint="eastAsia"/>
          <w:sz w:val="28"/>
          <w:szCs w:val="28"/>
        </w:rPr>
      </w:pPr>
      <w:r>
        <w:drawing>
          <wp:inline distT="0" distB="0" distL="114300" distR="114300">
            <wp:extent cx="5271135" cy="2159635"/>
            <wp:effectExtent l="0" t="0" r="5715"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5271135" cy="215963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napToGrid/>
          <w:kern w:val="2"/>
          <w:sz w:val="32"/>
          <w:szCs w:val="32"/>
          <w:lang w:val="en-US" w:eastAsia="zh-CN" w:bidi="ar-SA"/>
        </w:rPr>
      </w:pPr>
      <w:r>
        <w:rPr>
          <w:rFonts w:hint="eastAsia" w:ascii="楷体_GB2312" w:hAnsi="楷体_GB2312" w:eastAsia="楷体_GB2312" w:cs="楷体_GB2312"/>
          <w:snapToGrid/>
          <w:kern w:val="2"/>
          <w:sz w:val="32"/>
          <w:szCs w:val="32"/>
          <w:lang w:val="en-US" w:eastAsia="zh-CN" w:bidi="ar-SA"/>
        </w:rPr>
        <w:t>（三）其他费用及建设用地费（  2  张， 1050  万元）</w:t>
      </w:r>
    </w:p>
    <w:p>
      <w:pPr>
        <w:keepNext w:val="0"/>
        <w:keepLines w:val="0"/>
        <w:pageBreakBefore w:val="0"/>
        <w:kinsoku/>
        <w:wordWrap/>
        <w:overflowPunct/>
        <w:topLinePunct w:val="0"/>
        <w:autoSpaceDE/>
        <w:autoSpaceDN/>
        <w:bidi w:val="0"/>
        <w:adjustRightInd/>
        <w:snapToGrid/>
        <w:spacing w:line="560" w:lineRule="exact"/>
        <w:ind w:firstLine="640" w:firstLineChars="200"/>
      </w:pPr>
      <w:r>
        <w:rPr>
          <w:rFonts w:hint="eastAsia" w:ascii="仿宋_GB2312" w:eastAsia="仿宋_GB2312"/>
          <w:sz w:val="32"/>
          <w:szCs w:val="32"/>
        </w:rPr>
        <w:t>土地付款凭证</w:t>
      </w:r>
      <w:r>
        <w:rPr>
          <w:rFonts w:hint="eastAsia"/>
          <w:sz w:val="28"/>
          <w:szCs w:val="28"/>
        </w:rPr>
        <w:t>：</w:t>
      </w:r>
    </w:p>
    <w:p>
      <w:pPr>
        <w:keepNext w:val="0"/>
        <w:keepLines w:val="0"/>
        <w:pageBreakBefore w:val="0"/>
        <w:kinsoku/>
        <w:wordWrap/>
        <w:overflowPunct/>
        <w:topLinePunct w:val="0"/>
        <w:autoSpaceDE/>
        <w:autoSpaceDN/>
        <w:bidi w:val="0"/>
        <w:adjustRightInd/>
        <w:snapToGrid/>
        <w:spacing w:line="240" w:lineRule="auto"/>
        <w:ind w:firstLine="420" w:firstLineChars="200"/>
      </w:pPr>
      <w:r>
        <w:drawing>
          <wp:inline distT="0" distB="0" distL="114300" distR="114300">
            <wp:extent cx="5277485" cy="2565400"/>
            <wp:effectExtent l="0" t="0" r="18415" b="635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1"/>
                    <a:stretch>
                      <a:fillRect/>
                    </a:stretch>
                  </pic:blipFill>
                  <pic:spPr>
                    <a:xfrm>
                      <a:off x="0" y="0"/>
                      <a:ext cx="5277485" cy="25654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CC"/>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方正宋体S-超大字符集(SIP)"/>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rFonts w:hint="default" w:ascii="Times New Roman" w:hAnsi="Times New Roman" w:cs="Times New Roman"/>
        <w:sz w:val="28"/>
        <w:szCs w:val="28"/>
        <w:lang w:eastAsia="zh-CN"/>
      </w:rPr>
      <w:t xml:space="preserve">— </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5F3D43"/>
    <w:multiLevelType w:val="singleLevel"/>
    <w:tmpl w:val="E15F3D43"/>
    <w:lvl w:ilvl="0" w:tentative="0">
      <w:start w:val="2"/>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evenAndOddHeaders w:val="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3NTc2YzU1NzU1NGM0N2VkMjFiMTg1ODVjOGM4MjYifQ=="/>
  </w:docVars>
  <w:rsids>
    <w:rsidRoot w:val="56E46F0D"/>
    <w:rsid w:val="0FD85044"/>
    <w:rsid w:val="3FF57DC5"/>
    <w:rsid w:val="4E42D8EC"/>
    <w:rsid w:val="4E470BA1"/>
    <w:rsid w:val="536F0EFD"/>
    <w:rsid w:val="56E46F0D"/>
    <w:rsid w:val="58CD22DE"/>
    <w:rsid w:val="5FFE37E1"/>
    <w:rsid w:val="75BDCFE9"/>
    <w:rsid w:val="7A7374BD"/>
    <w:rsid w:val="7BF7C5F1"/>
    <w:rsid w:val="7D8DD1F4"/>
    <w:rsid w:val="7DDEF28A"/>
    <w:rsid w:val="7F363B09"/>
    <w:rsid w:val="7FDF8A6D"/>
    <w:rsid w:val="A6D33893"/>
    <w:rsid w:val="BCDC5DAF"/>
    <w:rsid w:val="D7C3B030"/>
    <w:rsid w:val="DBEE11CA"/>
    <w:rsid w:val="DD74CE26"/>
    <w:rsid w:val="E5C70C99"/>
    <w:rsid w:val="EBD749B8"/>
    <w:rsid w:val="EBFB2346"/>
    <w:rsid w:val="EDFBFDF7"/>
    <w:rsid w:val="EDFFD396"/>
    <w:rsid w:val="F78C11FE"/>
    <w:rsid w:val="F7CF0102"/>
    <w:rsid w:val="FFDFB9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Plain Text"/>
    <w:basedOn w:val="1"/>
    <w:next w:val="1"/>
    <w:qFormat/>
    <w:uiPriority w:val="0"/>
    <w:rPr>
      <w:rFonts w:ascii="宋体" w:hAnsi="Courier New" w:eastAsia="宋体" w:cs="Courier New"/>
      <w:sz w:val="21"/>
      <w:szCs w:val="21"/>
    </w:rPr>
  </w:style>
  <w:style w:type="paragraph" w:styleId="3">
    <w:name w:val="Body Text"/>
    <w:basedOn w:val="1"/>
    <w:next w:val="4"/>
    <w:qFormat/>
    <w:uiPriority w:val="0"/>
    <w:rPr>
      <w:sz w:val="24"/>
      <w:szCs w:val="24"/>
    </w:rPr>
  </w:style>
  <w:style w:type="paragraph" w:styleId="4">
    <w:name w:val="Body Text 2"/>
    <w:basedOn w:val="1"/>
    <w:qFormat/>
    <w:uiPriority w:val="0"/>
    <w:pPr>
      <w:spacing w:before="240"/>
    </w:pPr>
    <w:rPr>
      <w:rFonts w:ascii="Times New Roman" w:hAnsi="Times New Roman" w:eastAsia="宋体" w:cs="Times New Roman"/>
      <w:color w:val="FF0000"/>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Office_11.8.2.10681_F1E327BC-269C-435d-A152-05C5408002CA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2021-03-04T06:47:00Z</dcterms:created>
  <dc:creator>统计局帐户</dc:creator>
  <cp:lastModifiedBy>统计局帐户</cp:lastModifiedBy>
  <cp:lastPrinted>2023-03-11T05:32:00Z</cp:lastPrinted>
  <dcterms:modified xsi:type="dcterms:W3CDTF">2024-03-05T14:14:28Z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2052-11.8.2.10681</vt:lpwstr>
  </property>
  <property fmtid="{D5CDD505-2E9C-101B-9397-08002B2CF9AE}" pid="3" name="ICV">
    <vt:lpwstr>1A1F8065572148F292752BC706527963_13</vt:lpwstr>
  </property>
</Properties>
</file>