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60" w:lineRule="exact"/>
        <w:jc w:val="center"/>
        <w:textAlignment w:val="auto"/>
        <w:rPr>
          <w:rFonts w:hint="eastAsia" w:ascii="方正小标宋简体" w:eastAsia="方正小标宋简体"/>
          <w:color w:val="auto"/>
          <w:sz w:val="44"/>
          <w:szCs w:val="44"/>
          <w:highlight w:val="none"/>
        </w:rPr>
      </w:pPr>
      <w:bookmarkStart w:id="0" w:name="_GoBack"/>
      <w:bookmarkEnd w:id="0"/>
      <w:r>
        <w:rPr>
          <w:rFonts w:hint="eastAsia" w:ascii="方正小标宋简体" w:eastAsia="方正小标宋简体"/>
          <w:color w:val="auto"/>
          <w:sz w:val="44"/>
          <w:szCs w:val="44"/>
          <w:highlight w:val="none"/>
        </w:rPr>
        <w:t>深圳市商务局</w:t>
      </w:r>
      <w:r>
        <w:rPr>
          <w:rFonts w:hint="default" w:ascii="方正小标宋简体" w:eastAsia="方正小标宋简体"/>
          <w:color w:val="auto"/>
          <w:sz w:val="44"/>
          <w:szCs w:val="44"/>
          <w:highlight w:val="none"/>
        </w:rPr>
        <w:t>2024年</w:t>
      </w:r>
      <w:r>
        <w:rPr>
          <w:rFonts w:hint="eastAsia" w:ascii="方正小标宋简体" w:eastAsia="方正小标宋简体"/>
          <w:color w:val="auto"/>
          <w:sz w:val="44"/>
          <w:szCs w:val="44"/>
          <w:highlight w:val="none"/>
        </w:rPr>
        <w:t>促进消费提升扶持计划</w:t>
      </w:r>
    </w:p>
    <w:p>
      <w:pPr>
        <w:keepNext w:val="0"/>
        <w:keepLines w:val="0"/>
        <w:pageBreakBefore w:val="0"/>
        <w:kinsoku/>
        <w:overflowPunct/>
        <w:topLinePunct w:val="0"/>
        <w:bidi w:val="0"/>
        <w:spacing w:line="560" w:lineRule="exact"/>
        <w:jc w:val="center"/>
        <w:textAlignment w:val="auto"/>
        <w:rPr>
          <w:rFonts w:hint="eastAsia" w:ascii="方正小标宋简体" w:eastAsia="方正小标宋简体"/>
          <w:color w:val="auto"/>
          <w:sz w:val="44"/>
          <w:szCs w:val="44"/>
          <w:highlight w:val="none"/>
          <w:lang w:eastAsia="zh-CN"/>
        </w:rPr>
      </w:pPr>
      <w:r>
        <w:rPr>
          <w:rFonts w:hint="eastAsia" w:ascii="方正小标宋简体" w:eastAsia="方正小标宋简体"/>
          <w:color w:val="auto"/>
          <w:sz w:val="44"/>
          <w:szCs w:val="44"/>
          <w:highlight w:val="none"/>
        </w:rPr>
        <w:t>老字号博览会补贴</w:t>
      </w:r>
      <w:r>
        <w:rPr>
          <w:rFonts w:hint="default" w:ascii="方正小标宋简体" w:eastAsia="方正小标宋简体"/>
          <w:color w:val="auto"/>
          <w:sz w:val="44"/>
          <w:szCs w:val="44"/>
          <w:highlight w:val="none"/>
        </w:rPr>
        <w:t>项目</w:t>
      </w:r>
      <w:r>
        <w:rPr>
          <w:rFonts w:hint="eastAsia" w:ascii="方正小标宋简体" w:eastAsia="方正小标宋简体"/>
          <w:color w:val="auto"/>
          <w:sz w:val="44"/>
          <w:szCs w:val="44"/>
          <w:highlight w:val="none"/>
        </w:rPr>
        <w:t>申</w:t>
      </w:r>
      <w:r>
        <w:rPr>
          <w:rFonts w:hint="eastAsia" w:ascii="方正小标宋简体" w:eastAsia="方正小标宋简体"/>
          <w:color w:val="auto"/>
          <w:sz w:val="44"/>
          <w:szCs w:val="44"/>
          <w:highlight w:val="none"/>
          <w:lang w:eastAsia="zh-CN"/>
        </w:rPr>
        <w:t>报</w:t>
      </w:r>
      <w:r>
        <w:rPr>
          <w:rFonts w:hint="eastAsia" w:ascii="方正小标宋简体" w:eastAsia="方正小标宋简体"/>
          <w:color w:val="auto"/>
          <w:sz w:val="44"/>
          <w:szCs w:val="44"/>
          <w:highlight w:val="none"/>
        </w:rPr>
        <w:t>指南</w:t>
      </w:r>
    </w:p>
    <w:p>
      <w:pPr>
        <w:keepNext w:val="0"/>
        <w:keepLines w:val="0"/>
        <w:pageBreakBefore w:val="0"/>
        <w:kinsoku/>
        <w:overflowPunct/>
        <w:topLinePunct w:val="0"/>
        <w:bidi w:val="0"/>
        <w:spacing w:line="560" w:lineRule="exact"/>
        <w:textAlignment w:val="auto"/>
        <w:rPr>
          <w:rFonts w:hint="eastAsia" w:ascii="黑体" w:hAnsi="黑体" w:eastAsia="黑体"/>
          <w:color w:val="auto"/>
          <w:sz w:val="32"/>
          <w:szCs w:val="32"/>
          <w:highlight w:val="none"/>
        </w:rPr>
      </w:pP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、支持领域</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支持举办2023粤港澳大湾区老字号（文化）博览会。</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、设定依据</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rPr>
        <w:t>（一）</w:t>
      </w:r>
      <w:r>
        <w:rPr>
          <w:rFonts w:hint="eastAsia" w:ascii="楷体_GB2312" w:hAnsi="楷体_GB2312" w:eastAsia="楷体_GB2312" w:cs="楷体_GB2312"/>
          <w:b w:val="0"/>
          <w:bCs w:val="0"/>
          <w:color w:val="auto"/>
          <w:sz w:val="32"/>
          <w:szCs w:val="32"/>
          <w:highlight w:val="none"/>
          <w:lang w:eastAsia="zh-CN"/>
        </w:rPr>
        <w:t>政策依据</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省、市有关文件。</w:t>
      </w:r>
    </w:p>
    <w:p>
      <w:pPr>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（二）管理依据</w:t>
      </w:r>
    </w:p>
    <w:p>
      <w:pPr>
        <w:keepNext w:val="0"/>
        <w:keepLines w:val="0"/>
        <w:pageBreakBefore w:val="0"/>
        <w:kinsoku/>
        <w:overflowPunct/>
        <w:topLinePunct w:val="0"/>
        <w:bidi w:val="0"/>
        <w:spacing w:line="560" w:lineRule="exact"/>
        <w:ind w:firstLine="63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《深圳市商务</w:t>
      </w:r>
      <w:r>
        <w:rPr>
          <w:rFonts w:hint="eastAsia" w:ascii="仿宋_GB2312" w:eastAsia="仿宋_GB2312"/>
          <w:color w:val="auto"/>
          <w:sz w:val="32"/>
          <w:szCs w:val="32"/>
          <w:highlight w:val="none"/>
          <w:lang w:eastAsia="zh-CN"/>
        </w:rPr>
        <w:t>发展</w:t>
      </w:r>
      <w:r>
        <w:rPr>
          <w:rFonts w:hint="eastAsia" w:ascii="仿宋_GB2312" w:eastAsia="仿宋_GB2312"/>
          <w:color w:val="auto"/>
          <w:sz w:val="32"/>
          <w:szCs w:val="32"/>
          <w:highlight w:val="none"/>
        </w:rPr>
        <w:t>专项资金管理办法》（</w:t>
      </w:r>
      <w:r>
        <w:rPr>
          <w:rFonts w:hint="default" w:ascii="仿宋_GB2312" w:eastAsia="仿宋_GB2312"/>
          <w:color w:val="auto"/>
          <w:sz w:val="32"/>
          <w:szCs w:val="32"/>
          <w:highlight w:val="none"/>
          <w:lang w:eastAsia="zh-CN"/>
        </w:rPr>
        <w:t>深商务规字</w:t>
      </w:r>
      <w:r>
        <w:rPr>
          <w:rFonts w:hint="default" w:ascii="仿宋_GB2312" w:eastAsia="仿宋_GB2312"/>
          <w:color w:val="auto"/>
          <w:sz w:val="32"/>
          <w:szCs w:val="32"/>
          <w:highlight w:val="none"/>
        </w:rPr>
        <w:t>〔2020〕2号</w:t>
      </w:r>
      <w:r>
        <w:rPr>
          <w:rFonts w:hint="eastAsia" w:ascii="仿宋_GB2312" w:eastAsia="仿宋_GB2312"/>
          <w:color w:val="auto"/>
          <w:sz w:val="32"/>
          <w:szCs w:val="32"/>
          <w:highlight w:val="none"/>
        </w:rPr>
        <w:t>）</w:t>
      </w:r>
      <w:r>
        <w:rPr>
          <w:rFonts w:hint="default" w:ascii="仿宋_GB2312" w:eastAsia="仿宋_GB2312"/>
          <w:color w:val="auto"/>
          <w:sz w:val="32"/>
          <w:szCs w:val="32"/>
          <w:highlight w:val="none"/>
        </w:rPr>
        <w:t>。</w:t>
      </w:r>
    </w:p>
    <w:p>
      <w:pPr>
        <w:keepNext w:val="0"/>
        <w:keepLines w:val="0"/>
        <w:pageBreakBefore w:val="0"/>
        <w:kinsoku/>
        <w:overflowPunct/>
        <w:topLinePunct w:val="0"/>
        <w:bidi w:val="0"/>
        <w:spacing w:line="560" w:lineRule="exact"/>
        <w:ind w:firstLine="63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、支持数量</w:t>
      </w:r>
      <w:r>
        <w:rPr>
          <w:rFonts w:hint="eastAsia" w:ascii="黑体" w:hAnsi="黑体" w:eastAsia="黑体"/>
          <w:color w:val="auto"/>
          <w:sz w:val="32"/>
          <w:szCs w:val="32"/>
          <w:highlight w:val="none"/>
          <w:lang w:eastAsia="zh-CN"/>
        </w:rPr>
        <w:t>和支持方式</w:t>
      </w:r>
    </w:p>
    <w:p>
      <w:pPr>
        <w:keepNext w:val="0"/>
        <w:keepLines w:val="0"/>
        <w:pageBreakBefore w:val="0"/>
        <w:kinsoku/>
        <w:overflowPunct/>
        <w:topLinePunct w:val="0"/>
        <w:bidi w:val="0"/>
        <w:spacing w:line="560" w:lineRule="exact"/>
        <w:ind w:firstLine="630"/>
        <w:textAlignment w:val="auto"/>
        <w:rPr>
          <w:rFonts w:hint="eastAsia" w:ascii="楷体_GB2312" w:eastAsia="楷体_GB2312"/>
          <w:b w:val="0"/>
          <w:bCs/>
          <w:color w:val="auto"/>
          <w:sz w:val="32"/>
          <w:szCs w:val="32"/>
          <w:highlight w:val="none"/>
        </w:rPr>
      </w:pPr>
      <w:r>
        <w:rPr>
          <w:rFonts w:hint="eastAsia" w:ascii="楷体_GB2312" w:eastAsia="楷体_GB2312"/>
          <w:b w:val="0"/>
          <w:bCs/>
          <w:color w:val="auto"/>
          <w:sz w:val="32"/>
          <w:szCs w:val="32"/>
          <w:highlight w:val="none"/>
        </w:rPr>
        <w:t>（一）支持数量</w:t>
      </w:r>
    </w:p>
    <w:p>
      <w:pPr>
        <w:keepNext w:val="0"/>
        <w:keepLines w:val="0"/>
        <w:pageBreakBefore w:val="0"/>
        <w:kinsoku/>
        <w:overflowPunct/>
        <w:topLinePunct w:val="0"/>
        <w:bidi w:val="0"/>
        <w:spacing w:line="560" w:lineRule="exact"/>
        <w:ind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有数量限制，受财政下达年度资金预算控制，视申报情况，我局据以对资助金额和拨付进度等进行统一调整，申</w:t>
      </w:r>
      <w:r>
        <w:rPr>
          <w:rFonts w:hint="eastAsia" w:ascii="仿宋_GB2312" w:eastAsia="仿宋_GB2312"/>
          <w:color w:val="auto"/>
          <w:sz w:val="32"/>
          <w:szCs w:val="32"/>
          <w:highlight w:val="none"/>
          <w:lang w:eastAsia="zh-CN"/>
        </w:rPr>
        <w:t>报</w:t>
      </w:r>
      <w:r>
        <w:rPr>
          <w:rFonts w:hint="eastAsia" w:ascii="仿宋_GB2312" w:eastAsia="仿宋_GB2312"/>
          <w:color w:val="auto"/>
          <w:sz w:val="32"/>
          <w:szCs w:val="32"/>
          <w:highlight w:val="none"/>
        </w:rPr>
        <w:t>单位应无条件同意调整结果。</w:t>
      </w:r>
    </w:p>
    <w:p>
      <w:pPr>
        <w:keepNext w:val="0"/>
        <w:keepLines w:val="0"/>
        <w:pageBreakBefore w:val="0"/>
        <w:numPr>
          <w:ilvl w:val="0"/>
          <w:numId w:val="0"/>
        </w:numPr>
        <w:kinsoku/>
        <w:overflowPunct/>
        <w:topLinePunct w:val="0"/>
        <w:bidi w:val="0"/>
        <w:spacing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（二）支持方式</w:t>
      </w:r>
    </w:p>
    <w:p>
      <w:pPr>
        <w:keepNext w:val="0"/>
        <w:keepLines w:val="0"/>
        <w:pageBreakBefore w:val="0"/>
        <w:numPr>
          <w:ilvl w:val="0"/>
          <w:numId w:val="0"/>
        </w:numPr>
        <w:kinsoku/>
        <w:overflowPunct/>
        <w:topLinePunct w:val="0"/>
        <w:bidi w:val="0"/>
        <w:spacing w:line="560" w:lineRule="exact"/>
        <w:ind w:firstLine="640"/>
        <w:textAlignment w:val="auto"/>
        <w:rPr>
          <w:rFonts w:hint="default"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事后资助</w:t>
      </w:r>
      <w:r>
        <w:rPr>
          <w:rFonts w:hint="default" w:ascii="仿宋_GB2312" w:eastAsia="仿宋_GB2312"/>
          <w:color w:val="auto"/>
          <w:sz w:val="32"/>
          <w:szCs w:val="32"/>
          <w:highlight w:val="none"/>
          <w:lang w:eastAsia="zh-CN"/>
        </w:rPr>
        <w:t>。</w:t>
      </w:r>
    </w:p>
    <w:p>
      <w:pPr>
        <w:keepNext w:val="0"/>
        <w:keepLines w:val="0"/>
        <w:pageBreakBefore w:val="0"/>
        <w:numPr>
          <w:ilvl w:val="0"/>
          <w:numId w:val="0"/>
        </w:numPr>
        <w:kinsoku/>
        <w:overflowPunct/>
        <w:topLinePunct w:val="0"/>
        <w:bidi w:val="0"/>
        <w:spacing w:line="560" w:lineRule="exact"/>
        <w:ind w:firstLine="640"/>
        <w:textAlignment w:val="auto"/>
        <w:rPr>
          <w:rFonts w:hint="eastAsia" w:ascii="仿宋_GB2312" w:eastAsia="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四、申报条件</w:t>
      </w:r>
    </w:p>
    <w:p>
      <w:pPr>
        <w:keepNext w:val="0"/>
        <w:keepLines w:val="0"/>
        <w:pageBreakBefore w:val="0"/>
        <w:kinsoku/>
        <w:overflowPunct/>
        <w:topLinePunct w:val="0"/>
        <w:bidi w:val="0"/>
        <w:spacing w:line="560" w:lineRule="exact"/>
        <w:ind w:firstLine="63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（一）</w:t>
      </w:r>
      <w:r>
        <w:rPr>
          <w:rFonts w:hint="eastAsia" w:ascii="楷体_GB2312" w:hAnsi="楷体_GB2312" w:eastAsia="楷体_GB2312" w:cs="楷体_GB2312"/>
          <w:b w:val="0"/>
          <w:bCs/>
          <w:color w:val="auto"/>
          <w:sz w:val="32"/>
          <w:szCs w:val="32"/>
          <w:highlight w:val="none"/>
        </w:rPr>
        <w:t>基础条件</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1</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申报单位</w:t>
      </w:r>
      <w:r>
        <w:rPr>
          <w:rFonts w:hint="default" w:ascii="仿宋_GB2312" w:eastAsia="仿宋_GB2312"/>
          <w:color w:val="auto"/>
          <w:sz w:val="32"/>
          <w:szCs w:val="32"/>
          <w:highlight w:val="none"/>
        </w:rPr>
        <w:t>是在深圳市（含深汕特别合作区，下同）实际从事经营活动、具有独立法人资格的企业、事业单位和其他组织；</w:t>
      </w:r>
    </w:p>
    <w:p>
      <w:pPr>
        <w:keepNext w:val="0"/>
        <w:keepLines w:val="0"/>
        <w:pageBreakBefore w:val="0"/>
        <w:kinsoku/>
        <w:overflowPunct/>
        <w:topLinePunct w:val="0"/>
        <w:bidi w:val="0"/>
        <w:spacing w:line="560" w:lineRule="exact"/>
        <w:ind w:firstLine="63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eastAsia="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eastAsia="zh-CN"/>
        </w:rPr>
        <w:t>申报单位</w:t>
      </w:r>
      <w:r>
        <w:rPr>
          <w:rFonts w:hint="eastAsia" w:ascii="仿宋_GB2312" w:eastAsia="仿宋_GB2312"/>
          <w:color w:val="auto"/>
          <w:sz w:val="32"/>
          <w:szCs w:val="32"/>
          <w:highlight w:val="none"/>
        </w:rPr>
        <w:t>持续诚信合规经营，</w:t>
      </w:r>
      <w:r>
        <w:rPr>
          <w:rFonts w:hint="eastAsia" w:ascii="仿宋_GB2312" w:hAnsi="仿宋_GB2312" w:eastAsia="仿宋_GB2312" w:cs="仿宋_GB2312"/>
          <w:color w:val="auto"/>
          <w:sz w:val="32"/>
          <w:szCs w:val="32"/>
          <w:highlight w:val="none"/>
          <w:lang w:eastAsia="zh-CN"/>
        </w:rPr>
        <w:t>未被国家、省、市相关部门列入</w:t>
      </w:r>
      <w:r>
        <w:rPr>
          <w:rFonts w:hint="default" w:ascii="仿宋_GB2312" w:eastAsia="仿宋_GB2312"/>
          <w:color w:val="auto"/>
          <w:sz w:val="32"/>
          <w:szCs w:val="32"/>
          <w:highlight w:val="none"/>
          <w:lang w:eastAsia="zh-CN"/>
        </w:rPr>
        <w:t>严重违法失信</w:t>
      </w:r>
      <w:r>
        <w:rPr>
          <w:rFonts w:hint="eastAsia" w:ascii="仿宋_GB2312" w:eastAsia="仿宋_GB2312"/>
          <w:color w:val="auto"/>
          <w:sz w:val="32"/>
          <w:szCs w:val="32"/>
          <w:highlight w:val="none"/>
          <w:lang w:val="en-US" w:eastAsia="zh-CN"/>
        </w:rPr>
        <w:t>惩戒名单</w:t>
      </w:r>
      <w:r>
        <w:rPr>
          <w:rFonts w:hint="default" w:ascii="仿宋_GB2312" w:eastAsia="仿宋_GB2312"/>
          <w:color w:val="auto"/>
          <w:sz w:val="32"/>
          <w:szCs w:val="32"/>
          <w:highlight w:val="none"/>
          <w:lang w:eastAsia="zh-CN"/>
        </w:rPr>
        <w:t>且在限制期内</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3.同一项目不得</w:t>
      </w:r>
      <w:r>
        <w:rPr>
          <w:rFonts w:hint="default" w:ascii="仿宋_GB2312" w:eastAsia="仿宋_GB2312"/>
          <w:color w:val="auto"/>
          <w:sz w:val="32"/>
          <w:szCs w:val="32"/>
          <w:highlight w:val="none"/>
          <w:lang w:eastAsia="zh-CN"/>
        </w:rPr>
        <w:t>重复或多头申报市级专项资金（政策允许的除外）；</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4.对同一项目的中央、省、市、区等各级资助总额不超过项目实际支出金额。</w:t>
      </w:r>
    </w:p>
    <w:p>
      <w:pPr>
        <w:keepNext w:val="0"/>
        <w:keepLines w:val="0"/>
        <w:pageBreakBefore w:val="0"/>
        <w:kinsoku/>
        <w:overflowPunct/>
        <w:topLinePunct w:val="0"/>
        <w:bidi w:val="0"/>
        <w:spacing w:line="560" w:lineRule="exact"/>
        <w:ind w:firstLine="630"/>
        <w:textAlignment w:val="auto"/>
        <w:rPr>
          <w:rFonts w:hint="eastAsia" w:ascii="仿宋_GB2312" w:eastAsia="仿宋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（二）</w:t>
      </w:r>
      <w:r>
        <w:rPr>
          <w:rFonts w:hint="eastAsia" w:ascii="楷体_GB2312" w:hAnsi="楷体_GB2312" w:eastAsia="楷体_GB2312" w:cs="楷体_GB2312"/>
          <w:b w:val="0"/>
          <w:bCs/>
          <w:color w:val="auto"/>
          <w:sz w:val="32"/>
          <w:szCs w:val="32"/>
          <w:highlight w:val="none"/>
        </w:rPr>
        <w:t>专项条件</w:t>
      </w:r>
    </w:p>
    <w:p>
      <w:pPr>
        <w:keepNext w:val="0"/>
        <w:keepLines w:val="0"/>
        <w:pageBreakBefore w:val="0"/>
        <w:kinsoku/>
        <w:overflowPunct/>
        <w:topLinePunct w:val="0"/>
        <w:bidi w:val="0"/>
        <w:spacing w:line="560" w:lineRule="exact"/>
        <w:ind w:firstLine="645"/>
        <w:textAlignment w:val="auto"/>
        <w:rPr>
          <w:rFonts w:hint="default" w:ascii="仿宋_GB2312" w:eastAsia="仿宋_GB2312"/>
          <w:b/>
          <w:bCs/>
          <w:color w:val="auto"/>
          <w:sz w:val="32"/>
          <w:szCs w:val="32"/>
          <w:highlight w:val="none"/>
          <w:lang w:eastAsia="zh-CN"/>
        </w:rPr>
      </w:pPr>
      <w:r>
        <w:rPr>
          <w:rFonts w:hint="default" w:ascii="仿宋_GB2312" w:eastAsia="仿宋_GB2312"/>
          <w:b/>
          <w:bCs/>
          <w:color w:val="auto"/>
          <w:sz w:val="32"/>
          <w:szCs w:val="32"/>
          <w:highlight w:val="none"/>
          <w:lang w:eastAsia="zh-CN"/>
        </w:rPr>
        <w:t>1.举办老字号博览会项目</w:t>
      </w:r>
    </w:p>
    <w:p>
      <w:pPr>
        <w:keepNext w:val="0"/>
        <w:keepLines w:val="0"/>
        <w:pageBreakBefore w:val="0"/>
        <w:kinsoku/>
        <w:overflowPunct/>
        <w:topLinePunct w:val="0"/>
        <w:bidi w:val="0"/>
        <w:spacing w:line="560" w:lineRule="exact"/>
        <w:ind w:firstLine="645"/>
        <w:textAlignment w:val="auto"/>
        <w:rPr>
          <w:rFonts w:hint="default" w:ascii="仿宋_GB2312" w:eastAsia="仿宋_GB2312"/>
          <w:color w:val="auto"/>
          <w:sz w:val="32"/>
          <w:szCs w:val="32"/>
          <w:highlight w:val="none"/>
        </w:rPr>
      </w:pPr>
      <w:r>
        <w:rPr>
          <w:rFonts w:hint="default" w:ascii="仿宋_GB2312" w:eastAsia="仿宋_GB2312"/>
          <w:b w:val="0"/>
          <w:bCs w:val="0"/>
          <w:color w:val="auto"/>
          <w:sz w:val="32"/>
          <w:szCs w:val="32"/>
          <w:highlight w:val="none"/>
          <w:lang w:eastAsia="zh-CN"/>
        </w:rPr>
        <w:t>（1）</w:t>
      </w:r>
      <w:r>
        <w:rPr>
          <w:rFonts w:hint="default" w:ascii="仿宋_GB2312" w:eastAsia="仿宋_GB2312"/>
          <w:color w:val="auto"/>
          <w:sz w:val="32"/>
          <w:szCs w:val="32"/>
          <w:highlight w:val="none"/>
        </w:rPr>
        <w:t>申报单位为</w:t>
      </w:r>
      <w:r>
        <w:rPr>
          <w:rFonts w:hint="default" w:ascii="仿宋_GB2312" w:eastAsia="仿宋_GB2312"/>
          <w:color w:val="auto"/>
          <w:sz w:val="32"/>
          <w:szCs w:val="32"/>
          <w:highlight w:val="none"/>
          <w:lang w:eastAsia="zh-CN"/>
        </w:rPr>
        <w:t>粤港澳大湾区老字号（文化）博览会举办方，即展馆租赁等活动支出项合同签署方及发票抬头单位；</w:t>
      </w:r>
    </w:p>
    <w:p>
      <w:pPr>
        <w:keepNext w:val="0"/>
        <w:keepLines w:val="0"/>
        <w:pageBreakBefore w:val="0"/>
        <w:kinsoku/>
        <w:overflowPunct/>
        <w:topLinePunct w:val="0"/>
        <w:bidi w:val="0"/>
        <w:spacing w:line="560" w:lineRule="exact"/>
        <w:ind w:firstLine="64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rPr>
        <w:t>（2）申报项目在深圳市专业展馆（专业展馆指深圳会展中心、深圳国际会展中心和深圳坪山燕子湖国际会展中心三个展馆）举办；</w:t>
      </w:r>
    </w:p>
    <w:p>
      <w:pPr>
        <w:keepNext w:val="0"/>
        <w:keepLines w:val="0"/>
        <w:pageBreakBefore w:val="0"/>
        <w:kinsoku/>
        <w:overflowPunct/>
        <w:topLinePunct w:val="0"/>
        <w:bidi w:val="0"/>
        <w:spacing w:line="560" w:lineRule="exact"/>
        <w:ind w:firstLine="645"/>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rPr>
        <w:t>（3）申报项目举办时间为2023年。</w:t>
      </w:r>
    </w:p>
    <w:p>
      <w:pPr>
        <w:keepNext w:val="0"/>
        <w:keepLines w:val="0"/>
        <w:pageBreakBefore w:val="0"/>
        <w:kinsoku/>
        <w:overflowPunct/>
        <w:topLinePunct w:val="0"/>
        <w:bidi w:val="0"/>
        <w:spacing w:line="560" w:lineRule="exact"/>
        <w:ind w:firstLine="645"/>
        <w:textAlignment w:val="auto"/>
        <w:rPr>
          <w:rFonts w:hint="default" w:ascii="仿宋_GB2312" w:eastAsia="仿宋_GB2312"/>
          <w:b/>
          <w:bCs/>
          <w:color w:val="auto"/>
          <w:sz w:val="32"/>
          <w:szCs w:val="32"/>
          <w:highlight w:val="none"/>
        </w:rPr>
      </w:pPr>
      <w:r>
        <w:rPr>
          <w:rFonts w:hint="default" w:ascii="仿宋_GB2312" w:eastAsia="仿宋_GB2312"/>
          <w:b/>
          <w:bCs/>
          <w:color w:val="auto"/>
          <w:sz w:val="32"/>
          <w:szCs w:val="32"/>
          <w:highlight w:val="none"/>
        </w:rPr>
        <w:t>2.参加老字号博览会项目</w:t>
      </w:r>
    </w:p>
    <w:p>
      <w:pPr>
        <w:keepNext w:val="0"/>
        <w:keepLines w:val="0"/>
        <w:pageBreakBefore w:val="0"/>
        <w:kinsoku/>
        <w:overflowPunct/>
        <w:topLinePunct w:val="0"/>
        <w:bidi w:val="0"/>
        <w:spacing w:line="560" w:lineRule="exact"/>
        <w:ind w:firstLine="645"/>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rPr>
        <w:t>（1）申报单位为2023粤港澳</w:t>
      </w:r>
      <w:r>
        <w:rPr>
          <w:rFonts w:hint="default" w:ascii="仿宋_GB2312" w:eastAsia="仿宋_GB2312"/>
          <w:color w:val="auto"/>
          <w:sz w:val="32"/>
          <w:szCs w:val="32"/>
          <w:highlight w:val="none"/>
          <w:lang w:eastAsia="zh-CN"/>
        </w:rPr>
        <w:t>大湾区老字号（文化）博览会参展企业，且为第三批中华老字号企业；</w:t>
      </w:r>
    </w:p>
    <w:p>
      <w:pPr>
        <w:keepNext w:val="0"/>
        <w:keepLines w:val="0"/>
        <w:pageBreakBefore w:val="0"/>
        <w:kinsoku/>
        <w:overflowPunct/>
        <w:topLinePunct w:val="0"/>
        <w:bidi w:val="0"/>
        <w:spacing w:line="560" w:lineRule="exact"/>
        <w:ind w:firstLine="630"/>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（2）</w:t>
      </w:r>
      <w:r>
        <w:rPr>
          <w:rFonts w:hint="default" w:ascii="仿宋_GB2312" w:eastAsia="仿宋_GB2312"/>
          <w:color w:val="auto"/>
          <w:sz w:val="32"/>
          <w:szCs w:val="32"/>
          <w:highlight w:val="none"/>
        </w:rPr>
        <w:t>申报单位参加2023粤港澳</w:t>
      </w:r>
      <w:r>
        <w:rPr>
          <w:rFonts w:hint="default" w:ascii="仿宋_GB2312" w:eastAsia="仿宋_GB2312"/>
          <w:color w:val="auto"/>
          <w:sz w:val="32"/>
          <w:szCs w:val="32"/>
          <w:highlight w:val="none"/>
          <w:lang w:eastAsia="zh-CN"/>
        </w:rPr>
        <w:t>大湾区老字号（文化）博览会的特装展位展示的</w:t>
      </w:r>
      <w:r>
        <w:rPr>
          <w:rFonts w:hint="default" w:ascii="仿宋_GB2312" w:hAnsi="仿宋_GB2312" w:eastAsia="仿宋_GB2312" w:cs="仿宋_GB2312"/>
          <w:color w:val="auto"/>
          <w:sz w:val="32"/>
          <w:szCs w:val="32"/>
          <w:highlight w:val="none"/>
          <w:lang w:eastAsia="zh-CN"/>
        </w:rPr>
        <w:t>主要品牌为</w:t>
      </w:r>
      <w:r>
        <w:rPr>
          <w:rFonts w:hint="default" w:ascii="仿宋_GB2312" w:eastAsia="仿宋_GB2312"/>
          <w:color w:val="auto"/>
          <w:sz w:val="32"/>
          <w:szCs w:val="32"/>
          <w:highlight w:val="none"/>
          <w:lang w:eastAsia="zh-CN"/>
        </w:rPr>
        <w:t>第三批中华老字号名单中该企业对应品牌</w:t>
      </w:r>
      <w:r>
        <w:rPr>
          <w:rFonts w:hint="default" w:ascii="仿宋_GB2312" w:hAnsi="仿宋_GB2312" w:eastAsia="仿宋_GB2312" w:cs="仿宋_GB2312"/>
          <w:color w:val="auto"/>
          <w:sz w:val="32"/>
          <w:szCs w:val="32"/>
          <w:highlight w:val="none"/>
          <w:lang w:eastAsia="zh-CN"/>
        </w:rPr>
        <w:t>。</w:t>
      </w:r>
    </w:p>
    <w:p>
      <w:pPr>
        <w:keepNext w:val="0"/>
        <w:keepLines w:val="0"/>
        <w:pageBreakBefore w:val="0"/>
        <w:kinsoku/>
        <w:overflowPunct/>
        <w:topLinePunct w:val="0"/>
        <w:bidi w:val="0"/>
        <w:spacing w:line="560" w:lineRule="exact"/>
        <w:ind w:firstLine="645"/>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注：</w:t>
      </w:r>
      <w:r>
        <w:rPr>
          <w:rFonts w:hint="eastAsia" w:ascii="仿宋_GB2312" w:hAnsi="仿宋_GB2312" w:eastAsia="仿宋_GB2312" w:cs="仿宋_GB2312"/>
          <w:color w:val="auto"/>
          <w:sz w:val="32"/>
          <w:szCs w:val="32"/>
          <w:highlight w:val="none"/>
          <w:lang w:eastAsia="zh-CN"/>
        </w:rPr>
        <w:t>第三批中华老字号</w:t>
      </w:r>
      <w:r>
        <w:rPr>
          <w:rFonts w:hint="default" w:ascii="仿宋_GB2312" w:hAnsi="仿宋_GB2312" w:eastAsia="仿宋_GB2312" w:cs="仿宋_GB2312"/>
          <w:color w:val="auto"/>
          <w:sz w:val="32"/>
          <w:szCs w:val="32"/>
          <w:highlight w:val="none"/>
          <w:lang w:eastAsia="zh-CN"/>
        </w:rPr>
        <w:t>名单</w:t>
      </w:r>
      <w:r>
        <w:rPr>
          <w:rFonts w:hint="default" w:ascii="仿宋_GB2312" w:eastAsia="仿宋_GB2312"/>
          <w:color w:val="auto"/>
          <w:sz w:val="32"/>
          <w:szCs w:val="32"/>
          <w:highlight w:val="none"/>
          <w:lang w:eastAsia="zh-CN"/>
        </w:rPr>
        <w:t>以《商务部等5部门关于公布第三批中华老字号名单的通知》（商流通函</w:t>
      </w:r>
      <w:r>
        <w:rPr>
          <w:rFonts w:hint="default" w:ascii="仿宋_GB2312" w:eastAsia="仿宋_GB2312"/>
          <w:color w:val="auto"/>
          <w:sz w:val="32"/>
          <w:szCs w:val="32"/>
          <w:highlight w:val="none"/>
        </w:rPr>
        <w:t>〔</w:t>
      </w:r>
      <w:r>
        <w:rPr>
          <w:rFonts w:hint="default" w:ascii="仿宋_GB2312" w:eastAsia="仿宋_GB2312"/>
          <w:color w:val="auto"/>
          <w:sz w:val="32"/>
          <w:szCs w:val="32"/>
          <w:highlight w:val="none"/>
          <w:lang w:eastAsia="zh-CN"/>
        </w:rPr>
        <w:t>2024</w:t>
      </w:r>
      <w:r>
        <w:rPr>
          <w:rFonts w:hint="default" w:ascii="仿宋_GB2312" w:eastAsia="仿宋_GB2312"/>
          <w:color w:val="auto"/>
          <w:sz w:val="32"/>
          <w:szCs w:val="32"/>
          <w:highlight w:val="none"/>
        </w:rPr>
        <w:t>〕</w:t>
      </w:r>
      <w:r>
        <w:rPr>
          <w:rFonts w:hint="default" w:ascii="仿宋_GB2312" w:eastAsia="仿宋_GB2312"/>
          <w:color w:val="auto"/>
          <w:sz w:val="32"/>
          <w:szCs w:val="32"/>
          <w:highlight w:val="none"/>
          <w:lang w:eastAsia="zh-CN"/>
        </w:rPr>
        <w:t>27号）公布名单为准。</w:t>
      </w:r>
    </w:p>
    <w:p>
      <w:pPr>
        <w:keepNext w:val="0"/>
        <w:keepLines w:val="0"/>
        <w:pageBreakBefore w:val="0"/>
        <w:kinsoku/>
        <w:overflowPunct/>
        <w:topLinePunct w:val="0"/>
        <w:bidi w:val="0"/>
        <w:spacing w:line="560" w:lineRule="exact"/>
        <w:ind w:firstLine="63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五、支持内容和支持标准</w:t>
      </w:r>
    </w:p>
    <w:p>
      <w:pPr>
        <w:keepNext w:val="0"/>
        <w:keepLines w:val="0"/>
        <w:pageBreakBefore w:val="0"/>
        <w:kinsoku/>
        <w:overflowPunct/>
        <w:topLinePunct w:val="0"/>
        <w:bidi w:val="0"/>
        <w:spacing w:line="560" w:lineRule="exact"/>
        <w:ind w:firstLine="63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（一）举办老字号博览会项目</w:t>
      </w:r>
    </w:p>
    <w:p>
      <w:pPr>
        <w:keepNext w:val="0"/>
        <w:keepLines w:val="0"/>
        <w:pageBreakBefore w:val="0"/>
        <w:kinsoku/>
        <w:overflowPunct/>
        <w:topLinePunct w:val="0"/>
        <w:bidi w:val="0"/>
        <w:spacing w:line="560" w:lineRule="exact"/>
        <w:ind w:firstLine="63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支持</w:t>
      </w:r>
      <w:r>
        <w:rPr>
          <w:rFonts w:hint="eastAsia" w:ascii="仿宋_GB2312" w:eastAsia="仿宋_GB2312"/>
          <w:color w:val="auto"/>
          <w:sz w:val="32"/>
          <w:szCs w:val="32"/>
          <w:highlight w:val="none"/>
          <w:lang w:eastAsia="zh-CN"/>
        </w:rPr>
        <w:t>内容</w:t>
      </w:r>
      <w:r>
        <w:rPr>
          <w:rFonts w:hint="default" w:ascii="仿宋_GB2312" w:eastAsia="仿宋_GB2312"/>
          <w:color w:val="auto"/>
          <w:sz w:val="32"/>
          <w:szCs w:val="32"/>
          <w:highlight w:val="none"/>
          <w:lang w:eastAsia="zh-CN"/>
        </w:rPr>
        <w:t>：</w:t>
      </w:r>
      <w:r>
        <w:rPr>
          <w:rFonts w:hint="default" w:ascii="仿宋_GB2312" w:eastAsia="仿宋_GB2312"/>
          <w:color w:val="auto"/>
          <w:sz w:val="32"/>
          <w:szCs w:val="32"/>
          <w:highlight w:val="none"/>
        </w:rPr>
        <w:t>对举办方举办</w:t>
      </w:r>
      <w:r>
        <w:rPr>
          <w:rFonts w:hint="default" w:ascii="仿宋_GB2312" w:eastAsia="仿宋_GB2312"/>
          <w:color w:val="auto"/>
          <w:sz w:val="32"/>
          <w:szCs w:val="32"/>
          <w:highlight w:val="none"/>
          <w:lang w:eastAsia="zh-CN"/>
        </w:rPr>
        <w:t>2023粤港澳大湾区老字号（文化）博览会的搭建费、安保费等给予补贴。</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highlight w:val="none"/>
          <w:lang w:eastAsia="zh-CN"/>
        </w:rPr>
      </w:pPr>
      <w:r>
        <w:rPr>
          <w:rFonts w:hint="eastAsia" w:ascii="仿宋_GB2312" w:eastAsia="仿宋_GB2312"/>
          <w:color w:val="auto"/>
          <w:sz w:val="32"/>
          <w:szCs w:val="32"/>
          <w:highlight w:val="none"/>
        </w:rPr>
        <w:t>支持标准</w:t>
      </w:r>
      <w:r>
        <w:rPr>
          <w:rFonts w:hint="default" w:ascii="仿宋_GB2312" w:eastAsia="仿宋_GB2312"/>
          <w:color w:val="auto"/>
          <w:sz w:val="32"/>
          <w:szCs w:val="32"/>
          <w:highlight w:val="none"/>
        </w:rPr>
        <w:t>：按照市政府审议结果</w:t>
      </w:r>
      <w:r>
        <w:rPr>
          <w:rFonts w:hint="default" w:ascii="仿宋_GB2312" w:eastAsia="仿宋_GB2312"/>
          <w:color w:val="auto"/>
          <w:sz w:val="32"/>
          <w:szCs w:val="32"/>
          <w:highlight w:val="none"/>
          <w:lang w:eastAsia="zh-CN"/>
        </w:rPr>
        <w:t>给予补贴，补贴总额不超过103.4万元。</w:t>
      </w:r>
    </w:p>
    <w:p>
      <w:pPr>
        <w:keepNext w:val="0"/>
        <w:keepLines w:val="0"/>
        <w:pageBreakBefore w:val="0"/>
        <w:kinsoku/>
        <w:overflowPunct/>
        <w:topLinePunct w:val="0"/>
        <w:bidi w:val="0"/>
        <w:spacing w:line="560" w:lineRule="exact"/>
        <w:ind w:firstLine="63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（二）参加老字号博览会项目</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highlight w:val="none"/>
          <w:lang w:eastAsia="zh-CN"/>
        </w:rPr>
      </w:pPr>
      <w:r>
        <w:rPr>
          <w:rFonts w:hint="eastAsia" w:ascii="仿宋_GB2312" w:eastAsia="仿宋_GB2312"/>
          <w:color w:val="auto"/>
          <w:sz w:val="32"/>
          <w:szCs w:val="32"/>
          <w:highlight w:val="none"/>
        </w:rPr>
        <w:t>支持</w:t>
      </w:r>
      <w:r>
        <w:rPr>
          <w:rFonts w:hint="eastAsia" w:ascii="仿宋_GB2312" w:eastAsia="仿宋_GB2312"/>
          <w:color w:val="auto"/>
          <w:sz w:val="32"/>
          <w:szCs w:val="32"/>
          <w:highlight w:val="none"/>
          <w:lang w:eastAsia="zh-CN"/>
        </w:rPr>
        <w:t>内容</w:t>
      </w:r>
      <w:r>
        <w:rPr>
          <w:rFonts w:hint="default" w:ascii="仿宋_GB2312" w:eastAsia="仿宋_GB2312"/>
          <w:color w:val="auto"/>
          <w:sz w:val="32"/>
          <w:szCs w:val="32"/>
          <w:highlight w:val="none"/>
          <w:lang w:eastAsia="zh-CN"/>
        </w:rPr>
        <w:t>：对中华老字号企业参加2023粤港澳大湾区老字号（文化）博览会的特装展位搭建费给予补贴。</w:t>
      </w:r>
    </w:p>
    <w:p>
      <w:pPr>
        <w:keepNext w:val="0"/>
        <w:keepLines w:val="0"/>
        <w:pageBreakBefore w:val="0"/>
        <w:kinsoku/>
        <w:overflowPunct/>
        <w:topLinePunct w:val="0"/>
        <w:bidi w:val="0"/>
        <w:spacing w:line="560" w:lineRule="exact"/>
        <w:ind w:firstLine="63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支持标准：对特装展位策划、设计及搭建，按照实际支出的50%给予补贴，每家企业补贴金额不超过10万元。</w:t>
      </w:r>
    </w:p>
    <w:p>
      <w:pPr>
        <w:keepNext w:val="0"/>
        <w:keepLines w:val="0"/>
        <w:pageBreakBefore w:val="0"/>
        <w:kinsoku/>
        <w:overflowPunct/>
        <w:topLinePunct w:val="0"/>
        <w:bidi w:val="0"/>
        <w:spacing w:line="560" w:lineRule="exact"/>
        <w:ind w:firstLine="645"/>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六</w:t>
      </w:r>
      <w:r>
        <w:rPr>
          <w:rFonts w:hint="eastAsia" w:ascii="黑体" w:hAnsi="黑体" w:eastAsia="黑体"/>
          <w:color w:val="auto"/>
          <w:sz w:val="32"/>
          <w:szCs w:val="32"/>
          <w:highlight w:val="none"/>
        </w:rPr>
        <w:t>、申</w:t>
      </w:r>
      <w:r>
        <w:rPr>
          <w:rFonts w:hint="eastAsia" w:ascii="黑体" w:hAnsi="黑体" w:eastAsia="黑体"/>
          <w:color w:val="auto"/>
          <w:sz w:val="32"/>
          <w:szCs w:val="32"/>
          <w:highlight w:val="none"/>
          <w:lang w:eastAsia="zh-CN"/>
        </w:rPr>
        <w:t>报</w:t>
      </w:r>
      <w:r>
        <w:rPr>
          <w:rFonts w:hint="eastAsia" w:ascii="黑体" w:hAnsi="黑体" w:eastAsia="黑体"/>
          <w:color w:val="auto"/>
          <w:sz w:val="32"/>
          <w:szCs w:val="32"/>
          <w:highlight w:val="none"/>
        </w:rPr>
        <w:t>材料</w:t>
      </w:r>
    </w:p>
    <w:p>
      <w:pPr>
        <w:keepNext w:val="0"/>
        <w:keepLines w:val="0"/>
        <w:pageBreakBefore w:val="0"/>
        <w:kinsoku/>
        <w:overflowPunct/>
        <w:topLinePunct w:val="0"/>
        <w:bidi w:val="0"/>
        <w:spacing w:line="560" w:lineRule="exact"/>
        <w:ind w:firstLine="645"/>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（一）</w:t>
      </w:r>
      <w:r>
        <w:rPr>
          <w:rFonts w:hint="eastAsia" w:ascii="楷体_GB2312" w:hAnsi="楷体_GB2312" w:eastAsia="楷体_GB2312" w:cs="楷体_GB2312"/>
          <w:b w:val="0"/>
          <w:bCs/>
          <w:color w:val="auto"/>
          <w:sz w:val="32"/>
          <w:szCs w:val="32"/>
          <w:highlight w:val="none"/>
        </w:rPr>
        <w:t>基础材料</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登录广东政务服务网在线填报申请书（网址：</w:t>
      </w:r>
      <w:r>
        <w:rPr>
          <w:rFonts w:hint="eastAsia" w:ascii="仿宋_GB2312" w:hAnsi="仿宋_GB2312" w:eastAsia="仿宋_GB2312" w:cs="仿宋_GB2312"/>
          <w:color w:val="auto"/>
          <w:sz w:val="32"/>
          <w:szCs w:val="32"/>
          <w:highlight w:val="none"/>
          <w:u w:val="none"/>
        </w:rPr>
        <w:t>http://www.gdzwfw.gov.cn/</w:t>
      </w:r>
      <w:r>
        <w:rPr>
          <w:rFonts w:hint="default" w:ascii="仿宋_GB2312" w:hAnsi="仿宋_GB2312" w:eastAsia="仿宋_GB2312" w:cs="仿宋_GB2312"/>
          <w:color w:val="auto"/>
          <w:sz w:val="32"/>
          <w:szCs w:val="32"/>
          <w:highlight w:val="none"/>
          <w:u w:val="none"/>
        </w:rPr>
        <w:t>，进入后搜索“促进消费提升扶持计划”，选择“深圳市”—“市本级”—“举办老字号博览会项目”或“参加老字号博览会项目”，点击“在线办理”</w:t>
      </w:r>
      <w:r>
        <w:rPr>
          <w:rFonts w:hint="eastAsia" w:ascii="仿宋_GB2312" w:eastAsia="仿宋_GB2312"/>
          <w:color w:val="auto"/>
          <w:sz w:val="32"/>
          <w:szCs w:val="32"/>
          <w:highlight w:val="none"/>
          <w:u w:val="none"/>
        </w:rPr>
        <w:t>），</w:t>
      </w:r>
      <w:r>
        <w:rPr>
          <w:rFonts w:hint="default" w:ascii="仿宋_GB2312" w:eastAsia="仿宋_GB2312"/>
          <w:color w:val="auto"/>
          <w:sz w:val="32"/>
          <w:szCs w:val="32"/>
          <w:highlight w:val="none"/>
          <w:u w:val="none"/>
        </w:rPr>
        <w:t>预审通过后提交通过该系统打印的申请书纸质件（带水印）；</w:t>
      </w:r>
    </w:p>
    <w:p>
      <w:pPr>
        <w:keepNext w:val="0"/>
        <w:keepLines w:val="0"/>
        <w:pageBreakBefore w:val="0"/>
        <w:kinsoku/>
        <w:overflowPunct/>
        <w:topLinePunct w:val="0"/>
        <w:bidi w:val="0"/>
        <w:spacing w:line="560" w:lineRule="exact"/>
        <w:ind w:firstLine="630" w:firstLineChars="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2.</w:t>
      </w:r>
      <w:r>
        <w:rPr>
          <w:rFonts w:hint="default" w:ascii="仿宋_GB2312" w:eastAsia="仿宋_GB2312"/>
          <w:color w:val="auto"/>
          <w:sz w:val="32"/>
          <w:szCs w:val="32"/>
          <w:highlight w:val="none"/>
        </w:rPr>
        <w:t>营业执照或法人登记证书等注册登记证明文件电子件。</w:t>
      </w:r>
    </w:p>
    <w:p>
      <w:pPr>
        <w:keepNext w:val="0"/>
        <w:keepLines w:val="0"/>
        <w:pageBreakBefore w:val="0"/>
        <w:kinsoku/>
        <w:overflowPunct/>
        <w:topLinePunct w:val="0"/>
        <w:bidi w:val="0"/>
        <w:spacing w:line="560" w:lineRule="exact"/>
        <w:ind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（二）</w:t>
      </w:r>
      <w:r>
        <w:rPr>
          <w:rFonts w:hint="eastAsia" w:ascii="楷体_GB2312" w:hAnsi="楷体_GB2312" w:eastAsia="楷体_GB2312" w:cs="楷体_GB2312"/>
          <w:b w:val="0"/>
          <w:bCs/>
          <w:color w:val="auto"/>
          <w:sz w:val="32"/>
          <w:szCs w:val="32"/>
          <w:highlight w:val="none"/>
        </w:rPr>
        <w:t>项</w:t>
      </w:r>
      <w:r>
        <w:rPr>
          <w:rFonts w:hint="eastAsia" w:ascii="楷体_GB2312" w:hAnsi="楷体_GB2312" w:eastAsia="楷体_GB2312" w:cs="楷体_GB2312"/>
          <w:b w:val="0"/>
          <w:bCs/>
          <w:color w:val="auto"/>
          <w:sz w:val="32"/>
          <w:szCs w:val="32"/>
          <w:highlight w:val="none"/>
          <w:lang w:eastAsia="zh-CN"/>
        </w:rPr>
        <w:t>目</w:t>
      </w:r>
      <w:r>
        <w:rPr>
          <w:rFonts w:hint="eastAsia" w:ascii="楷体_GB2312" w:hAnsi="楷体_GB2312" w:eastAsia="楷体_GB2312" w:cs="楷体_GB2312"/>
          <w:b w:val="0"/>
          <w:bCs/>
          <w:color w:val="auto"/>
          <w:sz w:val="32"/>
          <w:szCs w:val="32"/>
          <w:highlight w:val="none"/>
        </w:rPr>
        <w:t>材料</w:t>
      </w:r>
    </w:p>
    <w:p>
      <w:pPr>
        <w:keepNext w:val="0"/>
        <w:keepLines w:val="0"/>
        <w:pageBreakBefore w:val="0"/>
        <w:kinsoku/>
        <w:overflowPunct/>
        <w:topLinePunct w:val="0"/>
        <w:bidi w:val="0"/>
        <w:spacing w:line="560" w:lineRule="exact"/>
        <w:ind w:firstLine="645"/>
        <w:textAlignment w:val="auto"/>
        <w:rPr>
          <w:rFonts w:hint="default" w:ascii="仿宋_GB2312" w:eastAsia="仿宋_GB2312"/>
          <w:b/>
          <w:bCs/>
          <w:color w:val="auto"/>
          <w:sz w:val="32"/>
          <w:szCs w:val="32"/>
          <w:highlight w:val="none"/>
          <w:lang w:eastAsia="zh-CN"/>
        </w:rPr>
      </w:pPr>
      <w:r>
        <w:rPr>
          <w:rFonts w:hint="default" w:ascii="仿宋_GB2312" w:eastAsia="仿宋_GB2312"/>
          <w:b/>
          <w:bCs/>
          <w:color w:val="auto"/>
          <w:sz w:val="32"/>
          <w:szCs w:val="32"/>
          <w:highlight w:val="none"/>
          <w:lang w:eastAsia="zh-CN"/>
        </w:rPr>
        <w:t>1.举办老字号博览会项目</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（1）申报项目情况报告（包括申报单位介绍、申报项目时间地点内容投入成效照片等，详见模板）；</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（2）展馆租赁合同及发票；</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（3）申报项目举办时间、地点佐证材料（如展馆租赁合同、宣传报道等）；</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default" w:ascii="仿宋_GB2312" w:eastAsia="仿宋_GB2312"/>
          <w:color w:val="auto"/>
          <w:sz w:val="32"/>
          <w:szCs w:val="32"/>
          <w:highlight w:val="none"/>
          <w:lang w:eastAsia="zh-CN"/>
        </w:rPr>
        <w:t>（4）申报项目相关经费支出明细表（详见模板）；</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（5）与申报项目相关经费支出相关的合同协议、发票、银行单据、记账凭证、成果展现等支出佐证材料（按照与经费支出明细表相同的顺序整理排列）；</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（6）申报项目的深圳参展企业标准展位清单（详见模板）及佐证材料（如参展合同、展位照片等，按照与标准展位清单相同的顺序整理排列）、展位图。</w:t>
      </w:r>
    </w:p>
    <w:p>
      <w:pPr>
        <w:keepNext w:val="0"/>
        <w:keepLines w:val="0"/>
        <w:pageBreakBefore w:val="0"/>
        <w:kinsoku/>
        <w:overflowPunct/>
        <w:topLinePunct w:val="0"/>
        <w:bidi w:val="0"/>
        <w:spacing w:line="560" w:lineRule="exact"/>
        <w:ind w:firstLine="645"/>
        <w:textAlignment w:val="auto"/>
        <w:rPr>
          <w:rFonts w:hint="default" w:ascii="仿宋_GB2312" w:eastAsia="仿宋_GB2312"/>
          <w:b/>
          <w:bCs/>
          <w:color w:val="auto"/>
          <w:sz w:val="32"/>
          <w:szCs w:val="32"/>
          <w:highlight w:val="none"/>
        </w:rPr>
      </w:pPr>
      <w:r>
        <w:rPr>
          <w:rFonts w:hint="default" w:ascii="仿宋_GB2312" w:eastAsia="仿宋_GB2312"/>
          <w:b/>
          <w:bCs/>
          <w:color w:val="auto"/>
          <w:sz w:val="32"/>
          <w:szCs w:val="32"/>
          <w:highlight w:val="none"/>
        </w:rPr>
        <w:t>2.参加老字号博览会项目</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（1）申报单位参展2023粤港澳大湾区老字号（文化）博览会的参展合同；</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（2）申报单位参展2023粤港澳大湾区老字号（文化）博览会的特装展位现场照片，包括全景、近景、门头等（需体现该展位展示的主要品牌）；</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default" w:ascii="仿宋_GB2312" w:eastAsia="仿宋_GB2312"/>
          <w:color w:val="auto"/>
          <w:sz w:val="32"/>
          <w:szCs w:val="32"/>
          <w:highlight w:val="none"/>
          <w:lang w:eastAsia="zh-CN"/>
        </w:rPr>
        <w:t>（3）申报项目特装展位搭建经费支出明细表（详见模板）；</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eastAsia="zh-CN"/>
        </w:rPr>
      </w:pPr>
      <w:r>
        <w:rPr>
          <w:rFonts w:hint="default" w:ascii="仿宋_GB2312" w:eastAsia="仿宋_GB2312"/>
          <w:color w:val="auto"/>
          <w:sz w:val="32"/>
          <w:szCs w:val="32"/>
          <w:highlight w:val="none"/>
          <w:lang w:eastAsia="zh-CN"/>
        </w:rPr>
        <w:t>（4）与申报项目特装展位搭建经费支出相关的合同协议、发票、银行单据、记账凭证等支出佐证材料（按照与经费支出明细表相同的顺序整理排列）。</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以上材料均需加盖申报单位</w:t>
      </w:r>
      <w:r>
        <w:rPr>
          <w:rFonts w:hint="eastAsia" w:ascii="仿宋_GB2312" w:eastAsia="仿宋_GB2312"/>
          <w:color w:val="auto"/>
          <w:sz w:val="32"/>
          <w:szCs w:val="32"/>
          <w:highlight w:val="none"/>
          <w:lang w:eastAsia="zh-CN"/>
        </w:rPr>
        <w:t>公</w:t>
      </w:r>
      <w:r>
        <w:rPr>
          <w:rFonts w:hint="eastAsia" w:ascii="仿宋_GB2312" w:eastAsia="仿宋_GB2312"/>
          <w:color w:val="auto"/>
          <w:sz w:val="32"/>
          <w:szCs w:val="32"/>
          <w:highlight w:val="none"/>
        </w:rPr>
        <w:t>章，多页的还需加盖骑缝</w:t>
      </w:r>
      <w:r>
        <w:rPr>
          <w:rFonts w:hint="eastAsia" w:ascii="仿宋_GB2312" w:eastAsia="仿宋_GB2312"/>
          <w:color w:val="auto"/>
          <w:sz w:val="32"/>
          <w:szCs w:val="32"/>
          <w:highlight w:val="none"/>
          <w:lang w:eastAsia="zh-CN"/>
        </w:rPr>
        <w:t>公</w:t>
      </w:r>
      <w:r>
        <w:rPr>
          <w:rFonts w:hint="eastAsia" w:ascii="仿宋_GB2312" w:eastAsia="仿宋_GB2312"/>
          <w:color w:val="auto"/>
          <w:sz w:val="32"/>
          <w:szCs w:val="32"/>
          <w:highlight w:val="none"/>
        </w:rPr>
        <w:t>章；</w:t>
      </w:r>
      <w:r>
        <w:rPr>
          <w:rFonts w:hint="eastAsia" w:ascii="仿宋_GB2312" w:eastAsia="仿宋_GB2312"/>
          <w:sz w:val="32"/>
          <w:szCs w:val="32"/>
          <w:highlight w:val="none"/>
          <w:lang w:eastAsia="zh-CN"/>
        </w:rPr>
        <w:t>签字需正楷手写或签章；</w:t>
      </w:r>
      <w:r>
        <w:rPr>
          <w:rFonts w:hint="eastAsia" w:ascii="仿宋_GB2312" w:eastAsia="仿宋_GB2312"/>
          <w:color w:val="auto"/>
          <w:sz w:val="32"/>
          <w:szCs w:val="32"/>
          <w:highlight w:val="none"/>
          <w:lang w:eastAsia="zh-CN"/>
        </w:rPr>
        <w:t>涉及外文的，需提供中文翻译件；</w:t>
      </w:r>
      <w:r>
        <w:rPr>
          <w:rFonts w:hint="eastAsia" w:ascii="仿宋_GB2312" w:eastAsia="仿宋_GB2312"/>
          <w:color w:val="auto"/>
          <w:sz w:val="32"/>
          <w:szCs w:val="32"/>
          <w:highlight w:val="none"/>
        </w:rPr>
        <w:t>一式两份，A4纸正反面打印/复印，非空白页（含封面）需连续编写页码，</w:t>
      </w:r>
      <w:r>
        <w:rPr>
          <w:rFonts w:hint="default" w:ascii="仿宋_GB2312" w:eastAsia="仿宋_GB2312"/>
          <w:color w:val="auto"/>
          <w:sz w:val="32"/>
          <w:szCs w:val="32"/>
          <w:highlight w:val="none"/>
        </w:rPr>
        <w:t>按照上述申报材料顺序排列，设置目录页并标明各目录对应页码，</w:t>
      </w:r>
      <w:r>
        <w:rPr>
          <w:rFonts w:hint="eastAsia" w:ascii="仿宋_GB2312" w:eastAsia="仿宋_GB2312"/>
          <w:color w:val="auto"/>
          <w:sz w:val="32"/>
          <w:szCs w:val="32"/>
          <w:highlight w:val="none"/>
        </w:rPr>
        <w:t>装订成册（胶装）</w:t>
      </w:r>
      <w:r>
        <w:rPr>
          <w:rFonts w:hint="default" w:ascii="仿宋_GB2312" w:eastAsia="仿宋_GB2312"/>
          <w:color w:val="auto"/>
          <w:sz w:val="32"/>
          <w:szCs w:val="32"/>
          <w:highlight w:val="none"/>
        </w:rPr>
        <w:t>；</w:t>
      </w:r>
      <w:r>
        <w:rPr>
          <w:rFonts w:hint="eastAsia" w:ascii="仿宋_GB2312" w:hAnsi="Arial" w:eastAsia="仿宋_GB2312" w:cs="Arial"/>
          <w:color w:val="000000"/>
          <w:sz w:val="32"/>
          <w:szCs w:val="32"/>
          <w:highlight w:val="none"/>
          <w:shd w:val="clear" w:color="auto" w:fill="FFFFFF"/>
        </w:rPr>
        <w:t>书脊（侧边）要求标注申报</w:t>
      </w:r>
      <w:r>
        <w:rPr>
          <w:rFonts w:hint="eastAsia" w:ascii="仿宋_GB2312" w:eastAsia="仿宋_GB2312"/>
          <w:sz w:val="32"/>
          <w:szCs w:val="32"/>
          <w:highlight w:val="none"/>
        </w:rPr>
        <w:t>单位</w:t>
      </w:r>
      <w:r>
        <w:rPr>
          <w:rFonts w:hint="eastAsia" w:ascii="仿宋_GB2312" w:hAnsi="Arial" w:eastAsia="仿宋_GB2312" w:cs="Arial"/>
          <w:color w:val="000000"/>
          <w:sz w:val="32"/>
          <w:szCs w:val="32"/>
          <w:highlight w:val="none"/>
          <w:shd w:val="clear" w:color="auto" w:fill="FFFFFF"/>
        </w:rPr>
        <w:t>名称。</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七</w:t>
      </w:r>
      <w:r>
        <w:rPr>
          <w:rFonts w:hint="eastAsia" w:ascii="黑体" w:hAnsi="黑体" w:eastAsia="黑体"/>
          <w:color w:val="auto"/>
          <w:sz w:val="32"/>
          <w:szCs w:val="32"/>
          <w:highlight w:val="none"/>
        </w:rPr>
        <w:t>、申请表格</w:t>
      </w:r>
    </w:p>
    <w:p>
      <w:pPr>
        <w:keepNext w:val="0"/>
        <w:keepLines w:val="0"/>
        <w:pageBreakBefore w:val="0"/>
        <w:kinsoku/>
        <w:overflowPunct/>
        <w:topLinePunct w:val="0"/>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仿宋_GB2312" w:eastAsia="仿宋_GB2312"/>
          <w:color w:val="auto"/>
          <w:sz w:val="32"/>
          <w:szCs w:val="32"/>
          <w:highlight w:val="none"/>
          <w:lang w:eastAsia="zh-CN"/>
        </w:rPr>
        <w:t>本指南第六条（一）</w:t>
      </w:r>
      <w:r>
        <w:rPr>
          <w:rFonts w:hint="default" w:ascii="仿宋_GB2312" w:eastAsia="仿宋_GB2312"/>
          <w:color w:val="auto"/>
          <w:sz w:val="32"/>
          <w:szCs w:val="32"/>
          <w:highlight w:val="none"/>
          <w:lang w:eastAsia="zh-CN"/>
        </w:rPr>
        <w:t>1.</w:t>
      </w:r>
      <w:r>
        <w:rPr>
          <w:rFonts w:hint="eastAsia" w:ascii="仿宋_GB2312" w:eastAsia="仿宋_GB2312"/>
          <w:color w:val="auto"/>
          <w:sz w:val="32"/>
          <w:szCs w:val="32"/>
          <w:highlight w:val="none"/>
          <w:lang w:eastAsia="zh-CN"/>
        </w:rPr>
        <w:t>规定</w:t>
      </w:r>
      <w:r>
        <w:rPr>
          <w:rFonts w:hint="eastAsia" w:ascii="仿宋_GB2312" w:eastAsia="仿宋_GB2312"/>
          <w:color w:val="auto"/>
          <w:sz w:val="32"/>
          <w:szCs w:val="32"/>
          <w:highlight w:val="none"/>
        </w:rPr>
        <w:t>登录广东政务服务网在线填报申请书，网址：</w:t>
      </w:r>
      <w:r>
        <w:rPr>
          <w:rFonts w:hint="eastAsia" w:ascii="仿宋_GB2312" w:hAnsi="仿宋_GB2312" w:eastAsia="仿宋_GB2312" w:cs="仿宋_GB2312"/>
          <w:color w:val="auto"/>
          <w:sz w:val="32"/>
          <w:szCs w:val="32"/>
          <w:highlight w:val="none"/>
          <w:u w:val="none"/>
        </w:rPr>
        <w:t>http://www.gdzwfw.gov.cn/</w:t>
      </w:r>
      <w:r>
        <w:rPr>
          <w:rFonts w:hint="default" w:ascii="仿宋_GB2312" w:hAnsi="仿宋_GB2312" w:eastAsia="仿宋_GB2312" w:cs="仿宋_GB2312"/>
          <w:color w:val="auto"/>
          <w:sz w:val="32"/>
          <w:szCs w:val="32"/>
          <w:highlight w:val="none"/>
          <w:u w:val="none"/>
        </w:rPr>
        <w:t>。</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八</w:t>
      </w:r>
      <w:r>
        <w:rPr>
          <w:rFonts w:hint="eastAsia" w:ascii="黑体" w:hAnsi="黑体" w:eastAsia="黑体"/>
          <w:color w:val="auto"/>
          <w:sz w:val="32"/>
          <w:szCs w:val="32"/>
          <w:highlight w:val="none"/>
        </w:rPr>
        <w:t>、受理机关</w:t>
      </w:r>
    </w:p>
    <w:p>
      <w:pPr>
        <w:keepNext w:val="0"/>
        <w:keepLines w:val="0"/>
        <w:pageBreakBefore w:val="0"/>
        <w:kinsoku/>
        <w:overflowPunct/>
        <w:topLinePunct w:val="0"/>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（一）受理机关：</w:t>
      </w:r>
      <w:r>
        <w:rPr>
          <w:rFonts w:hint="eastAsia" w:ascii="Times New Roman" w:hAnsi="Times New Roman" w:eastAsia="仿宋_GB2312" w:cs="Times New Roman"/>
          <w:color w:val="auto"/>
          <w:sz w:val="32"/>
          <w:szCs w:val="32"/>
          <w:highlight w:val="none"/>
        </w:rPr>
        <w:t>深圳市商务局</w:t>
      </w:r>
    </w:p>
    <w:p>
      <w:pPr>
        <w:keepNext w:val="0"/>
        <w:keepLines w:val="0"/>
        <w:pageBreakBefore w:val="0"/>
        <w:kinsoku/>
        <w:overflowPunct/>
        <w:topLinePunct w:val="0"/>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（二）受理时间：</w:t>
      </w:r>
    </w:p>
    <w:p>
      <w:pPr>
        <w:keepNext w:val="0"/>
        <w:keepLines w:val="0"/>
        <w:pageBreakBefore w:val="0"/>
        <w:kinsoku/>
        <w:overflowPunct/>
        <w:topLinePunct w:val="0"/>
        <w:bidi w:val="0"/>
        <w:spacing w:line="56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Times New Roman" w:hAnsi="Times New Roman" w:eastAsia="仿宋_GB2312" w:cs="Times New Roman"/>
          <w:color w:val="auto"/>
          <w:sz w:val="32"/>
          <w:szCs w:val="32"/>
          <w:highlight w:val="none"/>
        </w:rPr>
        <w:t>网络填报时间：</w:t>
      </w:r>
      <w:r>
        <w:rPr>
          <w:rFonts w:hint="eastAsia" w:ascii="仿宋_GB2312" w:hAnsi="宋体" w:eastAsia="仿宋_GB2312"/>
          <w:color w:val="auto"/>
          <w:sz w:val="32"/>
          <w:szCs w:val="32"/>
          <w:highlight w:val="none"/>
        </w:rPr>
        <w:t>20</w:t>
      </w:r>
      <w:r>
        <w:rPr>
          <w:rFonts w:hint="default" w:ascii="仿宋_GB2312" w:hAnsi="宋体" w:eastAsia="仿宋_GB2312"/>
          <w:color w:val="auto"/>
          <w:sz w:val="32"/>
          <w:szCs w:val="32"/>
          <w:highlight w:val="none"/>
          <w:lang w:eastAsia="zh-CN"/>
        </w:rPr>
        <w:t>24</w:t>
      </w:r>
      <w:r>
        <w:rPr>
          <w:rFonts w:hint="eastAsia" w:ascii="仿宋_GB2312" w:hAnsi="宋体" w:eastAsia="仿宋_GB2312"/>
          <w:color w:val="auto"/>
          <w:sz w:val="32"/>
          <w:szCs w:val="32"/>
          <w:highlight w:val="none"/>
        </w:rPr>
        <w:t>年</w:t>
      </w:r>
      <w:r>
        <w:rPr>
          <w:rFonts w:hint="default" w:ascii="仿宋_GB2312" w:hAnsi="宋体" w:eastAsia="仿宋_GB2312"/>
          <w:color w:val="auto"/>
          <w:sz w:val="32"/>
          <w:szCs w:val="32"/>
          <w:highlight w:val="none"/>
        </w:rPr>
        <w:t>3</w:t>
      </w:r>
      <w:r>
        <w:rPr>
          <w:rFonts w:hint="eastAsia" w:ascii="仿宋_GB2312" w:hAnsi="宋体" w:eastAsia="仿宋_GB2312"/>
          <w:color w:val="auto"/>
          <w:sz w:val="32"/>
          <w:szCs w:val="32"/>
          <w:highlight w:val="none"/>
        </w:rPr>
        <w:t>月</w:t>
      </w:r>
      <w:r>
        <w:rPr>
          <w:rFonts w:hint="default" w:ascii="仿宋_GB2312" w:hAnsi="宋体" w:eastAsia="仿宋_GB2312"/>
          <w:color w:val="auto"/>
          <w:sz w:val="32"/>
          <w:szCs w:val="32"/>
          <w:highlight w:val="none"/>
        </w:rPr>
        <w:t>18</w:t>
      </w:r>
      <w:r>
        <w:rPr>
          <w:rFonts w:hint="eastAsia" w:ascii="仿宋_GB2312" w:hAnsi="宋体" w:eastAsia="仿宋_GB2312"/>
          <w:color w:val="auto"/>
          <w:sz w:val="32"/>
          <w:szCs w:val="32"/>
          <w:highlight w:val="none"/>
        </w:rPr>
        <w:t>日—20</w:t>
      </w:r>
      <w:r>
        <w:rPr>
          <w:rFonts w:hint="default" w:ascii="仿宋_GB2312" w:hAnsi="宋体" w:eastAsia="仿宋_GB2312"/>
          <w:color w:val="auto"/>
          <w:sz w:val="32"/>
          <w:szCs w:val="32"/>
          <w:highlight w:val="none"/>
          <w:lang w:eastAsia="zh-CN"/>
        </w:rPr>
        <w:t>24</w:t>
      </w:r>
      <w:r>
        <w:rPr>
          <w:rFonts w:hint="eastAsia" w:ascii="仿宋_GB2312" w:hAnsi="宋体" w:eastAsia="仿宋_GB2312"/>
          <w:color w:val="auto"/>
          <w:sz w:val="32"/>
          <w:szCs w:val="32"/>
          <w:highlight w:val="none"/>
        </w:rPr>
        <w:t>年</w:t>
      </w:r>
      <w:r>
        <w:rPr>
          <w:rFonts w:hint="default" w:ascii="仿宋_GB2312" w:hAnsi="宋体" w:eastAsia="仿宋_GB2312"/>
          <w:color w:val="auto"/>
          <w:sz w:val="32"/>
          <w:szCs w:val="32"/>
          <w:highlight w:val="none"/>
        </w:rPr>
        <w:t>3</w:t>
      </w:r>
      <w:r>
        <w:rPr>
          <w:rFonts w:hint="eastAsia" w:ascii="仿宋_GB2312" w:hAnsi="宋体" w:eastAsia="仿宋_GB2312"/>
          <w:color w:val="auto"/>
          <w:sz w:val="32"/>
          <w:szCs w:val="32"/>
          <w:highlight w:val="none"/>
        </w:rPr>
        <w:t>月</w:t>
      </w:r>
      <w:r>
        <w:rPr>
          <w:rFonts w:hint="default" w:ascii="仿宋_GB2312" w:hAnsi="宋体" w:eastAsia="仿宋_GB2312"/>
          <w:color w:val="auto"/>
          <w:sz w:val="32"/>
          <w:szCs w:val="32"/>
          <w:highlight w:val="none"/>
        </w:rPr>
        <w:t>25</w:t>
      </w:r>
      <w:r>
        <w:rPr>
          <w:rFonts w:hint="eastAsia" w:ascii="仿宋_GB2312" w:hAnsi="宋体" w:eastAsia="仿宋_GB2312"/>
          <w:color w:val="auto"/>
          <w:sz w:val="32"/>
          <w:szCs w:val="32"/>
          <w:highlight w:val="none"/>
        </w:rPr>
        <w:t>日17:00;</w:t>
      </w:r>
    </w:p>
    <w:p>
      <w:pPr>
        <w:keepNext w:val="0"/>
        <w:keepLines w:val="0"/>
        <w:pageBreakBefore w:val="0"/>
        <w:kinsoku/>
        <w:overflowPunct/>
        <w:topLinePunct w:val="0"/>
        <w:bidi w:val="0"/>
        <w:spacing w:line="560" w:lineRule="exact"/>
        <w:ind w:firstLine="640" w:firstLineChars="200"/>
        <w:textAlignment w:val="auto"/>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2.材料</w:t>
      </w:r>
      <w:r>
        <w:rPr>
          <w:rFonts w:hint="eastAsia" w:ascii="仿宋_GB2312" w:hAnsi="宋体" w:eastAsia="仿宋_GB2312"/>
          <w:color w:val="auto"/>
          <w:sz w:val="32"/>
          <w:szCs w:val="32"/>
          <w:highlight w:val="none"/>
          <w:lang w:eastAsia="zh-CN"/>
        </w:rPr>
        <w:t>提交</w:t>
      </w:r>
      <w:r>
        <w:rPr>
          <w:rFonts w:hint="eastAsia" w:ascii="仿宋_GB2312" w:hAnsi="宋体" w:eastAsia="仿宋_GB2312"/>
          <w:color w:val="auto"/>
          <w:sz w:val="32"/>
          <w:szCs w:val="32"/>
          <w:highlight w:val="none"/>
        </w:rPr>
        <w:t>时间：20</w:t>
      </w:r>
      <w:r>
        <w:rPr>
          <w:rFonts w:hint="default" w:ascii="仿宋_GB2312" w:hAnsi="宋体" w:eastAsia="仿宋_GB2312"/>
          <w:color w:val="auto"/>
          <w:sz w:val="32"/>
          <w:szCs w:val="32"/>
          <w:highlight w:val="none"/>
          <w:lang w:eastAsia="zh-CN"/>
        </w:rPr>
        <w:t>24</w:t>
      </w:r>
      <w:r>
        <w:rPr>
          <w:rFonts w:hint="eastAsia" w:ascii="仿宋_GB2312" w:hAnsi="宋体" w:eastAsia="仿宋_GB2312"/>
          <w:color w:val="auto"/>
          <w:sz w:val="32"/>
          <w:szCs w:val="32"/>
          <w:highlight w:val="none"/>
        </w:rPr>
        <w:t>年</w:t>
      </w:r>
      <w:r>
        <w:rPr>
          <w:rFonts w:hint="default" w:ascii="仿宋_GB2312" w:hAnsi="宋体" w:eastAsia="仿宋_GB2312"/>
          <w:color w:val="auto"/>
          <w:sz w:val="32"/>
          <w:szCs w:val="32"/>
          <w:highlight w:val="none"/>
        </w:rPr>
        <w:t>3</w:t>
      </w:r>
      <w:r>
        <w:rPr>
          <w:rFonts w:hint="eastAsia" w:ascii="仿宋_GB2312" w:hAnsi="宋体" w:eastAsia="仿宋_GB2312"/>
          <w:color w:val="auto"/>
          <w:sz w:val="32"/>
          <w:szCs w:val="32"/>
          <w:highlight w:val="none"/>
        </w:rPr>
        <w:t>月</w:t>
      </w:r>
      <w:r>
        <w:rPr>
          <w:rFonts w:hint="default" w:ascii="仿宋_GB2312" w:hAnsi="宋体" w:eastAsia="仿宋_GB2312"/>
          <w:color w:val="auto"/>
          <w:sz w:val="32"/>
          <w:szCs w:val="32"/>
          <w:highlight w:val="none"/>
        </w:rPr>
        <w:t>18</w:t>
      </w:r>
      <w:r>
        <w:rPr>
          <w:rFonts w:hint="eastAsia" w:ascii="仿宋_GB2312" w:hAnsi="宋体" w:eastAsia="仿宋_GB2312"/>
          <w:color w:val="auto"/>
          <w:sz w:val="32"/>
          <w:szCs w:val="32"/>
          <w:highlight w:val="none"/>
        </w:rPr>
        <w:t>日—20</w:t>
      </w:r>
      <w:r>
        <w:rPr>
          <w:rFonts w:hint="default" w:ascii="仿宋_GB2312" w:hAnsi="宋体" w:eastAsia="仿宋_GB2312"/>
          <w:color w:val="auto"/>
          <w:sz w:val="32"/>
          <w:szCs w:val="32"/>
          <w:highlight w:val="none"/>
          <w:lang w:eastAsia="zh-CN"/>
        </w:rPr>
        <w:t>24</w:t>
      </w:r>
      <w:r>
        <w:rPr>
          <w:rFonts w:hint="eastAsia" w:ascii="仿宋_GB2312" w:hAnsi="宋体" w:eastAsia="仿宋_GB2312"/>
          <w:color w:val="auto"/>
          <w:sz w:val="32"/>
          <w:szCs w:val="32"/>
          <w:highlight w:val="none"/>
        </w:rPr>
        <w:t>年</w:t>
      </w:r>
      <w:r>
        <w:rPr>
          <w:rFonts w:hint="default" w:ascii="仿宋_GB2312" w:hAnsi="宋体" w:eastAsia="仿宋_GB2312"/>
          <w:color w:val="auto"/>
          <w:sz w:val="32"/>
          <w:szCs w:val="32"/>
          <w:highlight w:val="none"/>
        </w:rPr>
        <w:t>3</w:t>
      </w:r>
      <w:r>
        <w:rPr>
          <w:rFonts w:hint="eastAsia" w:ascii="仿宋_GB2312" w:hAnsi="宋体" w:eastAsia="仿宋_GB2312"/>
          <w:color w:val="auto"/>
          <w:sz w:val="32"/>
          <w:szCs w:val="32"/>
          <w:highlight w:val="none"/>
        </w:rPr>
        <w:t>月</w:t>
      </w:r>
      <w:r>
        <w:rPr>
          <w:rFonts w:hint="default" w:ascii="仿宋_GB2312" w:hAnsi="宋体" w:eastAsia="仿宋_GB2312"/>
          <w:color w:val="auto"/>
          <w:sz w:val="32"/>
          <w:szCs w:val="32"/>
          <w:highlight w:val="none"/>
        </w:rPr>
        <w:t>27</w:t>
      </w:r>
      <w:r>
        <w:rPr>
          <w:rFonts w:hint="eastAsia" w:ascii="仿宋_GB2312" w:hAnsi="宋体" w:eastAsia="仿宋_GB2312"/>
          <w:color w:val="auto"/>
          <w:sz w:val="32"/>
          <w:szCs w:val="32"/>
          <w:highlight w:val="none"/>
        </w:rPr>
        <w:t>日1</w:t>
      </w:r>
      <w:r>
        <w:rPr>
          <w:rFonts w:hint="default" w:ascii="仿宋_GB2312" w:hAnsi="宋体" w:eastAsia="仿宋_GB2312"/>
          <w:color w:val="auto"/>
          <w:sz w:val="32"/>
          <w:szCs w:val="32"/>
          <w:highlight w:val="none"/>
        </w:rPr>
        <w:t>7</w:t>
      </w:r>
      <w:r>
        <w:rPr>
          <w:rFonts w:hint="eastAsia" w:ascii="仿宋_GB2312" w:hAnsi="宋体" w:eastAsia="仿宋_GB2312"/>
          <w:color w:val="auto"/>
          <w:sz w:val="32"/>
          <w:szCs w:val="32"/>
          <w:highlight w:val="none"/>
        </w:rPr>
        <w:t>:</w:t>
      </w:r>
      <w:r>
        <w:rPr>
          <w:rFonts w:hint="default" w:ascii="仿宋_GB2312" w:hAnsi="宋体" w:eastAsia="仿宋_GB2312"/>
          <w:color w:val="auto"/>
          <w:sz w:val="32"/>
          <w:szCs w:val="32"/>
          <w:highlight w:val="none"/>
        </w:rPr>
        <w:t>45</w:t>
      </w:r>
      <w:r>
        <w:rPr>
          <w:rFonts w:hint="eastAsia" w:ascii="仿宋_GB2312" w:hAnsi="宋体" w:eastAsia="仿宋_GB2312"/>
          <w:color w:val="auto"/>
          <w:sz w:val="32"/>
          <w:szCs w:val="32"/>
          <w:highlight w:val="none"/>
          <w:lang w:eastAsia="zh-CN"/>
        </w:rPr>
        <w:t>；</w:t>
      </w:r>
    </w:p>
    <w:p>
      <w:pPr>
        <w:keepNext w:val="0"/>
        <w:keepLines w:val="0"/>
        <w:pageBreakBefore w:val="0"/>
        <w:kinsoku/>
        <w:overflowPunct/>
        <w:topLinePunct w:val="0"/>
        <w:bidi w:val="0"/>
        <w:spacing w:line="560" w:lineRule="exact"/>
        <w:ind w:firstLine="640" w:firstLineChars="200"/>
        <w:textAlignment w:val="auto"/>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申报单位在上述规定时间内在线填报、提交材料，逾期不予受理。</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color w:val="auto"/>
          <w:sz w:val="32"/>
          <w:szCs w:val="32"/>
          <w:highlight w:val="none"/>
        </w:rPr>
        <w:t>）受理地点：</w:t>
      </w:r>
      <w:r>
        <w:rPr>
          <w:rFonts w:hint="eastAsia" w:ascii="仿宋_GB2312" w:eastAsia="仿宋_GB2312"/>
          <w:color w:val="auto"/>
          <w:sz w:val="32"/>
          <w:szCs w:val="32"/>
          <w:highlight w:val="none"/>
        </w:rPr>
        <w:t>深圳市福田区福中三路市民中心B区深圳市政务服务中心西厅综合窗口。</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四</w:t>
      </w:r>
      <w:r>
        <w:rPr>
          <w:rFonts w:hint="eastAsia" w:ascii="楷体_GB2312" w:hAnsi="楷体_GB2312" w:eastAsia="楷体_GB2312" w:cs="楷体_GB2312"/>
          <w:color w:val="auto"/>
          <w:sz w:val="32"/>
          <w:szCs w:val="32"/>
          <w:highlight w:val="none"/>
        </w:rPr>
        <w:t>）咨询电话：</w:t>
      </w:r>
      <w:r>
        <w:rPr>
          <w:rFonts w:hint="eastAsia" w:ascii="仿宋_GB2312" w:eastAsia="仿宋_GB2312"/>
          <w:color w:val="auto"/>
          <w:sz w:val="32"/>
          <w:szCs w:val="32"/>
          <w:highlight w:val="none"/>
        </w:rPr>
        <w:t>0755-8810</w:t>
      </w:r>
      <w:r>
        <w:rPr>
          <w:rFonts w:hint="default" w:ascii="仿宋_GB2312" w:eastAsia="仿宋_GB2312"/>
          <w:color w:val="auto"/>
          <w:sz w:val="32"/>
          <w:szCs w:val="32"/>
          <w:highlight w:val="none"/>
        </w:rPr>
        <w:t>2459（工作日上午9:00-12:00，下午2:00-6:00）。</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九</w:t>
      </w:r>
      <w:r>
        <w:rPr>
          <w:rFonts w:hint="eastAsia" w:ascii="黑体" w:hAnsi="黑体" w:eastAsia="黑体"/>
          <w:color w:val="auto"/>
          <w:sz w:val="32"/>
          <w:szCs w:val="32"/>
          <w:highlight w:val="none"/>
        </w:rPr>
        <w:t>、申请决定机关</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深圳市商务局</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十</w:t>
      </w:r>
      <w:r>
        <w:rPr>
          <w:rFonts w:hint="eastAsia" w:ascii="黑体" w:hAnsi="黑体" w:eastAsia="黑体"/>
          <w:color w:val="auto"/>
          <w:sz w:val="32"/>
          <w:szCs w:val="32"/>
          <w:highlight w:val="none"/>
        </w:rPr>
        <w:t>、办理流程</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发布</w:t>
      </w:r>
      <w:r>
        <w:rPr>
          <w:rFonts w:hint="default" w:ascii="仿宋_GB2312" w:eastAsia="仿宋_GB2312"/>
          <w:color w:val="auto"/>
          <w:sz w:val="32"/>
          <w:szCs w:val="32"/>
          <w:highlight w:val="none"/>
        </w:rPr>
        <w:t>申报</w:t>
      </w:r>
      <w:r>
        <w:rPr>
          <w:rFonts w:hint="eastAsia" w:ascii="仿宋_GB2312" w:eastAsia="仿宋_GB2312"/>
          <w:color w:val="auto"/>
          <w:sz w:val="32"/>
          <w:szCs w:val="32"/>
          <w:highlight w:val="none"/>
        </w:rPr>
        <w:t>指南——</w:t>
      </w:r>
      <w:r>
        <w:rPr>
          <w:rFonts w:hint="default" w:ascii="仿宋_GB2312" w:eastAsia="仿宋_GB2312"/>
          <w:color w:val="auto"/>
          <w:sz w:val="32"/>
          <w:szCs w:val="32"/>
          <w:highlight w:val="none"/>
        </w:rPr>
        <w:t>申报</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网上申报——</w:t>
      </w:r>
      <w:r>
        <w:rPr>
          <w:rFonts w:hint="default" w:ascii="仿宋_GB2312" w:eastAsia="仿宋_GB2312"/>
          <w:color w:val="auto"/>
          <w:sz w:val="32"/>
          <w:szCs w:val="32"/>
          <w:highlight w:val="none"/>
        </w:rPr>
        <w:t>预</w:t>
      </w:r>
      <w:r>
        <w:rPr>
          <w:rFonts w:hint="eastAsia" w:ascii="仿宋_GB2312" w:eastAsia="仿宋_GB2312"/>
          <w:color w:val="auto"/>
          <w:sz w:val="32"/>
          <w:szCs w:val="32"/>
          <w:highlight w:val="none"/>
        </w:rPr>
        <w:t>审——申</w:t>
      </w:r>
      <w:r>
        <w:rPr>
          <w:rFonts w:hint="default" w:ascii="仿宋_GB2312" w:eastAsia="仿宋_GB2312"/>
          <w:color w:val="auto"/>
          <w:sz w:val="32"/>
          <w:szCs w:val="32"/>
          <w:highlight w:val="none"/>
        </w:rPr>
        <w:t>报</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向市</w:t>
      </w:r>
      <w:r>
        <w:rPr>
          <w:rFonts w:hint="default" w:ascii="仿宋_GB2312" w:eastAsia="仿宋_GB2312"/>
          <w:color w:val="auto"/>
          <w:sz w:val="32"/>
          <w:szCs w:val="32"/>
          <w:highlight w:val="none"/>
        </w:rPr>
        <w:t>政务</w:t>
      </w:r>
      <w:r>
        <w:rPr>
          <w:rFonts w:hint="eastAsia" w:ascii="仿宋_GB2312" w:eastAsia="仿宋_GB2312"/>
          <w:color w:val="auto"/>
          <w:sz w:val="32"/>
          <w:szCs w:val="32"/>
          <w:highlight w:val="none"/>
        </w:rPr>
        <w:t>服务</w:t>
      </w:r>
      <w:r>
        <w:rPr>
          <w:rFonts w:hint="default" w:ascii="仿宋_GB2312" w:eastAsia="仿宋_GB2312"/>
          <w:color w:val="auto"/>
          <w:sz w:val="32"/>
          <w:szCs w:val="32"/>
          <w:highlight w:val="none"/>
        </w:rPr>
        <w:t>中心</w:t>
      </w:r>
      <w:r>
        <w:rPr>
          <w:rFonts w:hint="eastAsia" w:ascii="仿宋_GB2312" w:eastAsia="仿宋_GB2312"/>
          <w:color w:val="auto"/>
          <w:sz w:val="32"/>
          <w:szCs w:val="32"/>
          <w:highlight w:val="none"/>
        </w:rPr>
        <w:t>收文窗口提交</w:t>
      </w:r>
      <w:r>
        <w:rPr>
          <w:rFonts w:hint="default" w:ascii="仿宋_GB2312" w:eastAsia="仿宋_GB2312"/>
          <w:color w:val="auto"/>
          <w:sz w:val="32"/>
          <w:szCs w:val="32"/>
          <w:highlight w:val="none"/>
        </w:rPr>
        <w:t>纸质版申报</w:t>
      </w:r>
      <w:r>
        <w:rPr>
          <w:rFonts w:hint="eastAsia" w:ascii="仿宋_GB2312" w:eastAsia="仿宋_GB2312"/>
          <w:color w:val="auto"/>
          <w:sz w:val="32"/>
          <w:szCs w:val="32"/>
          <w:highlight w:val="none"/>
        </w:rPr>
        <w:t>材料——</w:t>
      </w:r>
      <w:r>
        <w:rPr>
          <w:rFonts w:hint="eastAsia" w:ascii="仿宋_GB2312" w:eastAsia="仿宋_GB2312"/>
          <w:color w:val="auto"/>
          <w:sz w:val="32"/>
          <w:szCs w:val="32"/>
          <w:highlight w:val="none"/>
          <w:lang w:eastAsia="zh-CN"/>
        </w:rPr>
        <w:t>形式审查——资质审查——专项审计——</w:t>
      </w:r>
      <w:r>
        <w:rPr>
          <w:rFonts w:hint="eastAsia" w:ascii="仿宋_GB2312" w:eastAsia="仿宋_GB2312"/>
          <w:color w:val="auto"/>
          <w:sz w:val="32"/>
          <w:szCs w:val="32"/>
          <w:highlight w:val="none"/>
        </w:rPr>
        <w:t>征求相关单位意见——核定拟资助</w:t>
      </w:r>
      <w:r>
        <w:rPr>
          <w:rFonts w:hint="eastAsia" w:ascii="仿宋_GB2312" w:eastAsia="仿宋_GB2312"/>
          <w:color w:val="auto"/>
          <w:sz w:val="32"/>
          <w:szCs w:val="32"/>
          <w:highlight w:val="none"/>
          <w:lang w:eastAsia="zh-CN"/>
        </w:rPr>
        <w:t>计划</w:t>
      </w:r>
      <w:r>
        <w:rPr>
          <w:rFonts w:hint="eastAsia" w:ascii="仿宋_GB2312" w:eastAsia="仿宋_GB2312"/>
          <w:color w:val="auto"/>
          <w:sz w:val="32"/>
          <w:szCs w:val="32"/>
          <w:highlight w:val="none"/>
        </w:rPr>
        <w:t>——社会公示——下达资助计划——</w:t>
      </w:r>
      <w:r>
        <w:rPr>
          <w:rFonts w:hint="default" w:ascii="仿宋_GB2312" w:eastAsia="仿宋_GB2312"/>
          <w:color w:val="auto"/>
          <w:sz w:val="32"/>
          <w:szCs w:val="32"/>
          <w:highlight w:val="none"/>
        </w:rPr>
        <w:t>申报单位</w:t>
      </w:r>
      <w:r>
        <w:rPr>
          <w:rFonts w:hint="eastAsia" w:ascii="仿宋_GB2312" w:eastAsia="仿宋_GB2312"/>
          <w:color w:val="auto"/>
          <w:sz w:val="32"/>
          <w:szCs w:val="32"/>
          <w:highlight w:val="none"/>
        </w:rPr>
        <w:t>提交拨付资料——拨付资金。</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十一</w:t>
      </w:r>
      <w:r>
        <w:rPr>
          <w:rFonts w:hint="eastAsia" w:ascii="黑体" w:hAnsi="黑体" w:eastAsia="黑体"/>
          <w:color w:val="auto"/>
          <w:sz w:val="32"/>
          <w:szCs w:val="32"/>
          <w:highlight w:val="none"/>
        </w:rPr>
        <w:t>、办理时限</w:t>
      </w:r>
    </w:p>
    <w:p>
      <w:pPr>
        <w:keepNext w:val="0"/>
        <w:keepLines w:val="0"/>
        <w:pageBreakBefore w:val="0"/>
        <w:kinsoku/>
        <w:overflowPunct/>
        <w:topLinePunct w:val="0"/>
        <w:bidi w:val="0"/>
        <w:spacing w:line="560" w:lineRule="exact"/>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eastAsia="zh-CN"/>
        </w:rPr>
        <w:t>90个工作日（不包括审计等特殊程序时限）</w:t>
      </w:r>
      <w:r>
        <w:rPr>
          <w:rFonts w:hint="default" w:ascii="仿宋_GB2312" w:eastAsia="仿宋_GB2312"/>
          <w:color w:val="auto"/>
          <w:sz w:val="32"/>
          <w:szCs w:val="32"/>
          <w:highlight w:val="none"/>
        </w:rPr>
        <w:t>。</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、证件及有效期</w:t>
      </w:r>
    </w:p>
    <w:p>
      <w:pPr>
        <w:keepNext w:val="0"/>
        <w:keepLines w:val="0"/>
        <w:pageBreakBefore w:val="0"/>
        <w:kinsoku/>
        <w:overflowPunct/>
        <w:topLinePunct w:val="0"/>
        <w:bidi w:val="0"/>
        <w:spacing w:line="560" w:lineRule="exact"/>
        <w:ind w:firstLine="640" w:firstLineChars="200"/>
        <w:contextualSpacing/>
        <w:textAlignment w:val="auto"/>
        <w:outlineLvl w:val="0"/>
        <w:rPr>
          <w:rFonts w:ascii="仿宋_GB2312" w:eastAsia="仿宋_GB2312"/>
          <w:color w:val="auto"/>
          <w:sz w:val="32"/>
          <w:szCs w:val="32"/>
          <w:highlight w:val="none"/>
        </w:rPr>
      </w:pPr>
      <w:r>
        <w:rPr>
          <w:rFonts w:hint="eastAsia" w:ascii="仿宋_GB2312" w:eastAsia="仿宋_GB2312"/>
          <w:color w:val="auto"/>
          <w:sz w:val="32"/>
          <w:szCs w:val="32"/>
          <w:highlight w:val="none"/>
        </w:rPr>
        <w:t>证件：</w:t>
      </w:r>
      <w:r>
        <w:rPr>
          <w:rFonts w:hint="eastAsia" w:ascii="仿宋_GB2312" w:eastAsia="仿宋_GB2312"/>
          <w:color w:val="auto"/>
          <w:sz w:val="32"/>
          <w:szCs w:val="32"/>
          <w:highlight w:val="none"/>
          <w:lang w:eastAsia="zh-CN"/>
        </w:rPr>
        <w:t>无</w:t>
      </w:r>
    </w:p>
    <w:p>
      <w:pPr>
        <w:keepNext w:val="0"/>
        <w:keepLines w:val="0"/>
        <w:pageBreakBefore w:val="0"/>
        <w:kinsoku/>
        <w:overflowPunct/>
        <w:topLinePunct w:val="0"/>
        <w:bidi w:val="0"/>
        <w:spacing w:line="560" w:lineRule="exact"/>
        <w:ind w:firstLine="640" w:firstLineChars="200"/>
        <w:contextualSpacing/>
        <w:textAlignment w:val="auto"/>
        <w:outlineLvl w:val="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有效期限：</w:t>
      </w:r>
      <w:r>
        <w:rPr>
          <w:rFonts w:hint="eastAsia" w:ascii="仿宋_GB2312" w:eastAsia="仿宋_GB2312"/>
          <w:color w:val="auto"/>
          <w:sz w:val="32"/>
          <w:szCs w:val="32"/>
          <w:highlight w:val="none"/>
          <w:lang w:eastAsia="zh-CN"/>
        </w:rPr>
        <w:t>无</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、证件的法律效力</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无</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eastAsia="zh-CN"/>
        </w:rPr>
        <w:t>四</w:t>
      </w:r>
      <w:r>
        <w:rPr>
          <w:rFonts w:hint="eastAsia" w:ascii="黑体" w:hAnsi="黑体" w:eastAsia="黑体"/>
          <w:color w:val="auto"/>
          <w:sz w:val="32"/>
          <w:szCs w:val="32"/>
          <w:highlight w:val="none"/>
        </w:rPr>
        <w:t>、收费</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无</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eastAsia="zh-CN"/>
        </w:rPr>
        <w:t>五</w:t>
      </w:r>
      <w:r>
        <w:rPr>
          <w:rFonts w:hint="eastAsia" w:ascii="黑体" w:hAnsi="黑体" w:eastAsia="黑体"/>
          <w:color w:val="auto"/>
          <w:sz w:val="32"/>
          <w:szCs w:val="32"/>
          <w:highlight w:val="none"/>
        </w:rPr>
        <w:t>、年审或年检</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无</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eastAsia="zh-CN"/>
        </w:rPr>
        <w:t>六</w:t>
      </w:r>
      <w:r>
        <w:rPr>
          <w:rFonts w:hint="eastAsia" w:ascii="黑体" w:hAnsi="黑体" w:eastAsia="黑体"/>
          <w:color w:val="auto"/>
          <w:sz w:val="32"/>
          <w:szCs w:val="32"/>
          <w:highlight w:val="none"/>
        </w:rPr>
        <w:t>、补充说明</w:t>
      </w:r>
    </w:p>
    <w:p>
      <w:pPr>
        <w:keepNext w:val="0"/>
        <w:keepLines w:val="0"/>
        <w:pageBreakBefore w:val="0"/>
        <w:kinsoku/>
        <w:overflowPunct/>
        <w:topLinePunct w:val="0"/>
        <w:bidi w:val="0"/>
        <w:spacing w:line="560" w:lineRule="exact"/>
        <w:ind w:firstLine="640" w:firstLineChars="200"/>
        <w:contextualSpacing/>
        <w:textAlignment w:val="auto"/>
        <w:outlineLvl w:val="0"/>
        <w:rPr>
          <w:rFonts w:ascii="仿宋_GB2312" w:eastAsia="仿宋_GB2312"/>
          <w:color w:val="auto"/>
          <w:sz w:val="32"/>
          <w:szCs w:val="32"/>
          <w:highlight w:val="none"/>
        </w:rPr>
      </w:pPr>
      <w:r>
        <w:rPr>
          <w:rFonts w:hint="eastAsia" w:ascii="仿宋_GB2312" w:eastAsia="仿宋_GB2312"/>
          <w:color w:val="auto"/>
          <w:sz w:val="32"/>
          <w:szCs w:val="32"/>
          <w:highlight w:val="none"/>
        </w:rPr>
        <w:t>（一）同一单位建设内容相同或部分相同项目、同一笔费用支出不得向市有关部门多头申报。经核实属重复申报或多头申报的项目，将取消该单位的申报资格并追究责任。</w:t>
      </w:r>
    </w:p>
    <w:p>
      <w:pPr>
        <w:keepNext w:val="0"/>
        <w:keepLines w:val="0"/>
        <w:pageBreakBefore w:val="0"/>
        <w:kinsoku/>
        <w:overflowPunct/>
        <w:topLinePunct w:val="0"/>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（二）我局从未委托任何单位和个人为企业代理专项资金扶持计划</w:t>
      </w:r>
      <w:r>
        <w:rPr>
          <w:rFonts w:hint="eastAsia" w:ascii="仿宋_GB2312" w:eastAsia="仿宋_GB2312"/>
          <w:color w:val="auto"/>
          <w:sz w:val="32"/>
          <w:szCs w:val="32"/>
          <w:highlight w:val="none"/>
          <w:lang w:eastAsia="zh-CN"/>
        </w:rPr>
        <w:t>项目</w:t>
      </w:r>
      <w:r>
        <w:rPr>
          <w:rFonts w:hint="eastAsia" w:ascii="仿宋_GB2312" w:eastAsia="仿宋_GB2312"/>
          <w:color w:val="auto"/>
          <w:sz w:val="32"/>
          <w:szCs w:val="32"/>
          <w:highlight w:val="none"/>
        </w:rPr>
        <w:t>申报事宜</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rPr>
        <w:t>请相关企业自主申报。我局将严格按照有关标准和程序受理申请，不收取任何费用。如有任何中介机构和个人假借我局和工作人员名义向企业收取费用的，请知情者即向我局举报。</w:t>
      </w:r>
    </w:p>
    <w:p>
      <w:pPr>
        <w:keepNext w:val="0"/>
        <w:keepLines w:val="0"/>
        <w:pageBreakBefore w:val="0"/>
        <w:kinsoku/>
        <w:overflowPunct/>
        <w:topLinePunct w:val="0"/>
        <w:bidi w:val="0"/>
        <w:spacing w:line="560" w:lineRule="exact"/>
        <w:textAlignment w:val="auto"/>
        <w:rPr>
          <w:rFonts w:hint="eastAsia" w:ascii="黑体" w:hAnsi="黑体" w:eastAsia="黑体" w:cs="黑体"/>
          <w:color w:val="auto"/>
          <w:sz w:val="32"/>
          <w:szCs w:val="32"/>
          <w:highlight w:val="none"/>
          <w:lang w:eastAsia="zh-CN"/>
        </w:rPr>
        <w:sectPr>
          <w:footerReference r:id="rId3" w:type="default"/>
          <w:pgSz w:w="11906" w:h="16838"/>
          <w:pgMar w:top="1814" w:right="1474" w:bottom="1814" w:left="1474"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spacing w:line="560" w:lineRule="exact"/>
        <w:textAlignment w:val="auto"/>
        <w:rPr>
          <w:rFonts w:hint="default" w:ascii="黑体" w:hAnsi="黑体" w:eastAsia="黑体" w:cs="黑体"/>
          <w:sz w:val="32"/>
          <w:szCs w:val="32"/>
          <w:highlight w:val="none"/>
        </w:rPr>
      </w:pPr>
      <w:r>
        <w:rPr>
          <w:rFonts w:hint="eastAsia" w:ascii="黑体" w:hAnsi="黑体" w:eastAsia="黑体" w:cs="黑体"/>
          <w:sz w:val="32"/>
          <w:szCs w:val="32"/>
          <w:highlight w:val="none"/>
        </w:rPr>
        <w:t>附件</w:t>
      </w:r>
      <w:r>
        <w:rPr>
          <w:rFonts w:hint="default" w:ascii="黑体" w:hAnsi="黑体" w:eastAsia="黑体" w:cs="黑体"/>
          <w:sz w:val="32"/>
          <w:szCs w:val="32"/>
          <w:highlight w:val="none"/>
        </w:rPr>
        <w:t>1</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举办老字号博览会项目</w:t>
      </w:r>
    </w:p>
    <w:p>
      <w:pPr>
        <w:keepNext w:val="0"/>
        <w:keepLines w:val="0"/>
        <w:pageBreakBefore w:val="0"/>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color w:val="auto"/>
          <w:sz w:val="44"/>
          <w:szCs w:val="44"/>
          <w:lang w:eastAsia="zh-CN"/>
        </w:rPr>
      </w:pPr>
      <w:r>
        <w:rPr>
          <w:rFonts w:hint="eastAsia" w:ascii="方正小标宋简体" w:eastAsia="方正小标宋简体"/>
          <w:color w:val="auto"/>
          <w:sz w:val="44"/>
          <w:szCs w:val="44"/>
        </w:rPr>
        <w:t>申报项目情况报告</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spacing w:line="560" w:lineRule="exact"/>
        <w:ind w:firstLine="720" w:firstLineChars="200"/>
        <w:textAlignment w:val="auto"/>
        <w:rPr>
          <w:rFonts w:ascii="仿宋_GB2312" w:hAnsi="宋体" w:eastAsia="仿宋_GB2312" w:cs="仿宋_GB2312"/>
          <w:color w:val="000000"/>
          <w:sz w:val="36"/>
          <w:szCs w:val="36"/>
          <w:shd w:val="clear" w:color="auto" w:fill="FFFFFF"/>
        </w:rPr>
      </w:pPr>
      <w:r>
        <w:rPr>
          <w:rFonts w:hint="eastAsia" w:ascii="仿宋_GB2312" w:hAnsi="宋体" w:eastAsia="仿宋_GB2312" w:cs="仿宋_GB2312"/>
          <w:color w:val="000000"/>
          <w:sz w:val="36"/>
          <w:szCs w:val="36"/>
          <w:shd w:val="clear" w:color="auto" w:fill="FFFFFF"/>
        </w:rPr>
        <w:t>项目名称：</w:t>
      </w:r>
    </w:p>
    <w:p>
      <w:pPr>
        <w:keepNext w:val="0"/>
        <w:keepLines w:val="0"/>
        <w:pageBreakBefore w:val="0"/>
        <w:kinsoku/>
        <w:wordWrap/>
        <w:overflowPunct/>
        <w:topLinePunct w:val="0"/>
        <w:autoSpaceDE/>
        <w:autoSpaceDN/>
        <w:bidi w:val="0"/>
        <w:spacing w:line="560" w:lineRule="exact"/>
        <w:ind w:firstLine="720" w:firstLineChars="200"/>
        <w:textAlignment w:val="auto"/>
        <w:rPr>
          <w:rFonts w:ascii="仿宋_GB2312" w:hAnsi="宋体" w:eastAsia="仿宋_GB2312" w:cs="仿宋_GB2312"/>
          <w:color w:val="000000"/>
          <w:sz w:val="36"/>
          <w:szCs w:val="36"/>
          <w:shd w:val="clear" w:color="auto" w:fill="FFFFFF"/>
        </w:rPr>
      </w:pPr>
      <w:r>
        <w:rPr>
          <w:rFonts w:hint="default" w:ascii="仿宋_GB2312" w:hAnsi="宋体" w:eastAsia="仿宋_GB2312" w:cs="仿宋_GB2312"/>
          <w:color w:val="000000"/>
          <w:sz w:val="36"/>
          <w:szCs w:val="36"/>
          <w:shd w:val="clear" w:color="auto" w:fill="FFFFFF"/>
        </w:rPr>
        <w:t>申报</w:t>
      </w:r>
      <w:r>
        <w:rPr>
          <w:rFonts w:hint="eastAsia" w:ascii="仿宋_GB2312" w:hAnsi="宋体" w:eastAsia="仿宋_GB2312" w:cs="仿宋_GB2312"/>
          <w:color w:val="000000"/>
          <w:sz w:val="36"/>
          <w:szCs w:val="36"/>
          <w:shd w:val="clear" w:color="auto" w:fill="FFFFFF"/>
        </w:rPr>
        <w:t>单位：</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一、申报单位介绍</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二、申报项目介绍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包括申报项目举办时间、地点、具体内容、费用投入等。</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三、申报项目成效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包括申报项目活动效果、社会效益、经济效益、直接收益、间接收益等。</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四、现场照片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申报项目筹备、举办等现场照片，照片需注明所拍摄内容。</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五、其他说明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申报单位认为有必要说明的其他内容。</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jc w:val="left"/>
        <w:textAlignment w:val="auto"/>
        <w:rPr>
          <w:rFonts w:hint="default" w:ascii="仿宋_GB2312" w:eastAsia="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黑体" w:hAnsi="黑体" w:eastAsia="黑体" w:cs="黑体"/>
        </w:rPr>
        <w:sectPr>
          <w:pgSz w:w="11906" w:h="16838"/>
          <w:pgMar w:top="1440" w:right="1800" w:bottom="1440" w:left="1800" w:header="851" w:footer="992" w:gutter="0"/>
          <w:cols w:space="425" w:num="1"/>
          <w:docGrid w:type="lines" w:linePitch="312" w:charSpace="0"/>
        </w:sect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黑体" w:hAnsi="黑体" w:eastAsia="黑体" w:cs="黑体"/>
        </w:rPr>
      </w:pPr>
      <w:r>
        <w:rPr>
          <w:rFonts w:hint="eastAsia" w:ascii="黑体" w:hAnsi="黑体" w:eastAsia="黑体" w:cs="黑体"/>
        </w:rPr>
        <w:t>附件</w:t>
      </w:r>
      <w:r>
        <w:rPr>
          <w:rFonts w:hint="default" w:ascii="黑体" w:hAnsi="黑体" w:eastAsia="黑体" w:cs="黑体"/>
        </w:rPr>
        <w:t>2-1</w:t>
      </w:r>
    </w:p>
    <w:p>
      <w:pPr>
        <w:pStyle w:val="2"/>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举办老字号博览会项目</w:t>
      </w:r>
    </w:p>
    <w:p>
      <w:pPr>
        <w:pStyle w:val="2"/>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申报项目相关经费支出明细表</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highlight w:val="yellow"/>
          <w:lang w:eastAsia="zh-CN"/>
        </w:rPr>
      </w:pPr>
      <w:r>
        <w:rPr>
          <w:rFonts w:hint="default" w:ascii="宋体" w:hAnsi="宋体" w:cs="宋体"/>
          <w:color w:val="auto"/>
          <w:kern w:val="0"/>
          <w:sz w:val="20"/>
          <w:szCs w:val="20"/>
        </w:rPr>
        <w:t>申报单位</w:t>
      </w:r>
      <w:r>
        <w:rPr>
          <w:rFonts w:hint="eastAsia" w:ascii="宋体" w:hAnsi="宋体" w:eastAsia="宋体" w:cs="宋体"/>
          <w:color w:val="auto"/>
          <w:kern w:val="0"/>
          <w:sz w:val="20"/>
          <w:szCs w:val="20"/>
        </w:rPr>
        <w:t>：</w:t>
      </w:r>
      <w:r>
        <w:rPr>
          <w:rFonts w:hint="default" w:ascii="宋体" w:hAnsi="宋体" w:eastAsia="宋体" w:cs="宋体"/>
          <w:color w:val="auto"/>
          <w:kern w:val="0"/>
          <w:sz w:val="20"/>
          <w:szCs w:val="20"/>
        </w:rPr>
        <w:t xml:space="preserve">                                                                                                            </w:t>
      </w:r>
      <w:r>
        <w:rPr>
          <w:rFonts w:hint="default" w:ascii="宋体" w:hAnsi="宋体" w:cs="宋体"/>
          <w:color w:val="auto"/>
          <w:kern w:val="0"/>
          <w:sz w:val="20"/>
          <w:szCs w:val="20"/>
        </w:rPr>
        <w:t xml:space="preserve">       </w:t>
      </w:r>
      <w:r>
        <w:rPr>
          <w:rFonts w:hint="eastAsia" w:ascii="宋体" w:hAnsi="宋体" w:eastAsia="宋体" w:cs="宋体"/>
          <w:color w:val="auto"/>
          <w:kern w:val="0"/>
          <w:sz w:val="20"/>
          <w:szCs w:val="20"/>
        </w:rPr>
        <w:t>单位：元</w:t>
      </w:r>
    </w:p>
    <w:tbl>
      <w:tblPr>
        <w:tblStyle w:val="9"/>
        <w:tblW w:w="13828" w:type="dxa"/>
        <w:tblInd w:w="-142" w:type="dxa"/>
        <w:tblLayout w:type="fixed"/>
        <w:tblCellMar>
          <w:top w:w="0" w:type="dxa"/>
          <w:left w:w="108" w:type="dxa"/>
          <w:bottom w:w="0" w:type="dxa"/>
          <w:right w:w="108" w:type="dxa"/>
        </w:tblCellMar>
      </w:tblPr>
      <w:tblGrid>
        <w:gridCol w:w="702"/>
        <w:gridCol w:w="2167"/>
        <w:gridCol w:w="1360"/>
        <w:gridCol w:w="825"/>
        <w:gridCol w:w="675"/>
        <w:gridCol w:w="656"/>
        <w:gridCol w:w="657"/>
        <w:gridCol w:w="618"/>
        <w:gridCol w:w="694"/>
        <w:gridCol w:w="619"/>
        <w:gridCol w:w="637"/>
        <w:gridCol w:w="675"/>
        <w:gridCol w:w="732"/>
        <w:gridCol w:w="675"/>
        <w:gridCol w:w="1068"/>
        <w:gridCol w:w="1068"/>
      </w:tblGrid>
      <w:tr>
        <w:tblPrEx>
          <w:tblCellMar>
            <w:top w:w="0" w:type="dxa"/>
            <w:left w:w="108" w:type="dxa"/>
            <w:bottom w:w="0" w:type="dxa"/>
            <w:right w:w="108" w:type="dxa"/>
          </w:tblCellMar>
        </w:tblPrEx>
        <w:trPr>
          <w:trHeight w:val="480" w:hRule="atLeast"/>
          <w:tblHeader/>
        </w:trPr>
        <w:tc>
          <w:tcPr>
            <w:tcW w:w="702"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序号</w:t>
            </w:r>
          </w:p>
        </w:tc>
        <w:tc>
          <w:tcPr>
            <w:tcW w:w="2167"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费用名称</w:t>
            </w:r>
          </w:p>
        </w:tc>
        <w:tc>
          <w:tcPr>
            <w:tcW w:w="1360"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default" w:ascii="宋体" w:hAnsi="宋体" w:eastAsia="宋体" w:cs="宋体"/>
                <w:b/>
                <w:bCs/>
                <w:color w:val="auto"/>
                <w:kern w:val="0"/>
                <w:sz w:val="20"/>
                <w:szCs w:val="20"/>
              </w:rPr>
              <w:t>费用</w:t>
            </w:r>
            <w:r>
              <w:rPr>
                <w:rFonts w:hint="eastAsia" w:ascii="宋体" w:hAnsi="宋体" w:eastAsia="宋体" w:cs="宋体"/>
                <w:b/>
                <w:bCs/>
                <w:color w:val="auto"/>
                <w:kern w:val="0"/>
                <w:sz w:val="20"/>
                <w:szCs w:val="20"/>
              </w:rPr>
              <w:t>内容</w:t>
            </w:r>
          </w:p>
        </w:tc>
        <w:tc>
          <w:tcPr>
            <w:tcW w:w="825" w:type="dxa"/>
            <w:vMerge w:val="restart"/>
            <w:tcBorders>
              <w:top w:val="single" w:color="auto" w:sz="4" w:space="0"/>
              <w:left w:val="nil"/>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收款方</w:t>
            </w:r>
          </w:p>
        </w:tc>
        <w:tc>
          <w:tcPr>
            <w:tcW w:w="33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cs="宋体"/>
                <w:b/>
                <w:bCs/>
                <w:color w:val="auto"/>
                <w:kern w:val="0"/>
                <w:sz w:val="20"/>
                <w:szCs w:val="20"/>
              </w:rPr>
            </w:pPr>
            <w:r>
              <w:rPr>
                <w:rFonts w:hint="default" w:ascii="宋体" w:hAnsi="宋体" w:cs="宋体"/>
                <w:b/>
                <w:bCs/>
                <w:color w:val="auto"/>
                <w:kern w:val="0"/>
                <w:sz w:val="20"/>
                <w:szCs w:val="20"/>
              </w:rPr>
              <w:t>发票信息</w:t>
            </w:r>
          </w:p>
        </w:tc>
        <w:tc>
          <w:tcPr>
            <w:tcW w:w="333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default" w:ascii="宋体" w:hAnsi="宋体" w:cs="宋体"/>
                <w:b/>
                <w:bCs/>
                <w:color w:val="auto"/>
                <w:kern w:val="0"/>
                <w:sz w:val="20"/>
                <w:szCs w:val="20"/>
              </w:rPr>
              <w:t>付款信息</w:t>
            </w:r>
          </w:p>
        </w:tc>
        <w:tc>
          <w:tcPr>
            <w:tcW w:w="1068" w:type="dxa"/>
            <w:vMerge w:val="restart"/>
            <w:tcBorders>
              <w:top w:val="single" w:color="auto" w:sz="4" w:space="0"/>
              <w:left w:val="nil"/>
              <w:right w:val="single" w:color="auto" w:sz="4" w:space="0"/>
            </w:tcBorders>
            <w:vAlign w:val="center"/>
          </w:tcPr>
          <w:p>
            <w:pPr>
              <w:widowControl/>
              <w:jc w:val="center"/>
              <w:rPr>
                <w:rFonts w:hint="default" w:ascii="宋体" w:hAnsi="宋体" w:eastAsia="宋体" w:cs="宋体"/>
                <w:b/>
                <w:bCs/>
                <w:color w:val="auto"/>
                <w:kern w:val="0"/>
                <w:sz w:val="20"/>
                <w:szCs w:val="20"/>
              </w:rPr>
            </w:pPr>
            <w:r>
              <w:rPr>
                <w:rFonts w:hint="default" w:ascii="宋体" w:hAnsi="宋体" w:eastAsia="宋体" w:cs="宋体"/>
                <w:b/>
                <w:bCs/>
                <w:color w:val="auto"/>
                <w:kern w:val="0"/>
                <w:sz w:val="20"/>
                <w:szCs w:val="20"/>
              </w:rPr>
              <w:t>申报金额</w:t>
            </w:r>
          </w:p>
        </w:tc>
        <w:tc>
          <w:tcPr>
            <w:tcW w:w="1068" w:type="dxa"/>
            <w:vMerge w:val="restart"/>
            <w:tcBorders>
              <w:top w:val="single" w:color="auto" w:sz="4" w:space="0"/>
              <w:left w:val="nil"/>
              <w:right w:val="single" w:color="auto" w:sz="4" w:space="0"/>
            </w:tcBorders>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备注</w:t>
            </w:r>
          </w:p>
        </w:tc>
      </w:tr>
      <w:tr>
        <w:tblPrEx>
          <w:tblCellMar>
            <w:top w:w="0" w:type="dxa"/>
            <w:left w:w="108" w:type="dxa"/>
            <w:bottom w:w="0" w:type="dxa"/>
            <w:right w:w="108" w:type="dxa"/>
          </w:tblCellMar>
        </w:tblPrEx>
        <w:trPr>
          <w:trHeight w:val="480" w:hRule="atLeast"/>
          <w:tblHeader/>
        </w:trPr>
        <w:tc>
          <w:tcPr>
            <w:tcW w:w="70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p>
        </w:tc>
        <w:tc>
          <w:tcPr>
            <w:tcW w:w="2167"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p>
        </w:tc>
        <w:tc>
          <w:tcPr>
            <w:tcW w:w="136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p>
        </w:tc>
        <w:tc>
          <w:tcPr>
            <w:tcW w:w="825" w:type="dxa"/>
            <w:vMerge w:val="continue"/>
            <w:tcBorders>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凭证日期</w:t>
            </w:r>
          </w:p>
        </w:tc>
        <w:tc>
          <w:tcPr>
            <w:tcW w:w="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凭证号</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发票日期</w:t>
            </w:r>
          </w:p>
        </w:tc>
        <w:tc>
          <w:tcPr>
            <w:tcW w:w="6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发票号</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发票金额</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凭证日期</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凭证号</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付款日期</w:t>
            </w:r>
          </w:p>
        </w:tc>
        <w:tc>
          <w:tcPr>
            <w:tcW w:w="732"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b/>
                <w:bCs/>
                <w:color w:val="auto"/>
                <w:kern w:val="0"/>
                <w:sz w:val="20"/>
                <w:szCs w:val="20"/>
              </w:rPr>
            </w:pPr>
            <w:r>
              <w:rPr>
                <w:rFonts w:hint="default" w:ascii="宋体" w:hAnsi="宋体" w:cs="宋体"/>
                <w:b/>
                <w:bCs/>
                <w:color w:val="auto"/>
                <w:kern w:val="0"/>
                <w:sz w:val="20"/>
                <w:szCs w:val="20"/>
              </w:rPr>
              <w:t>付款金额</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b/>
                <w:bCs/>
                <w:color w:val="auto"/>
                <w:kern w:val="0"/>
                <w:sz w:val="20"/>
                <w:szCs w:val="20"/>
              </w:rPr>
            </w:pPr>
            <w:r>
              <w:rPr>
                <w:rFonts w:hint="default" w:ascii="宋体" w:hAnsi="宋体" w:cs="宋体"/>
                <w:b/>
                <w:bCs/>
                <w:color w:val="auto"/>
                <w:kern w:val="0"/>
                <w:sz w:val="20"/>
                <w:szCs w:val="20"/>
              </w:rPr>
              <w:t>付款方式</w:t>
            </w:r>
          </w:p>
        </w:tc>
        <w:tc>
          <w:tcPr>
            <w:tcW w:w="1068" w:type="dxa"/>
            <w:vMerge w:val="continue"/>
            <w:tcBorders>
              <w:left w:val="nil"/>
              <w:bottom w:val="single" w:color="auto" w:sz="4" w:space="0"/>
              <w:right w:val="single" w:color="auto" w:sz="4" w:space="0"/>
            </w:tcBorders>
            <w:vAlign w:val="center"/>
          </w:tcPr>
          <w:p>
            <w:pPr>
              <w:widowControl/>
              <w:jc w:val="center"/>
              <w:rPr>
                <w:rFonts w:hint="default" w:ascii="宋体" w:hAnsi="宋体" w:eastAsia="宋体" w:cs="宋体"/>
                <w:b/>
                <w:bCs/>
                <w:color w:val="auto"/>
                <w:kern w:val="0"/>
                <w:sz w:val="20"/>
                <w:szCs w:val="20"/>
              </w:rPr>
            </w:pPr>
          </w:p>
        </w:tc>
        <w:tc>
          <w:tcPr>
            <w:tcW w:w="1068" w:type="dxa"/>
            <w:vMerge w:val="continue"/>
            <w:tcBorders>
              <w:left w:val="nil"/>
              <w:bottom w:val="single" w:color="auto" w:sz="4" w:space="0"/>
              <w:right w:val="single" w:color="auto" w:sz="4" w:space="0"/>
            </w:tcBorders>
            <w:vAlign w:val="center"/>
          </w:tcPr>
          <w:p>
            <w:pPr>
              <w:widowControl/>
              <w:jc w:val="center"/>
              <w:rPr>
                <w:rFonts w:hint="default" w:ascii="宋体" w:hAnsi="宋体" w:eastAsia="宋体" w:cs="宋体"/>
                <w:b/>
                <w:bCs/>
                <w:color w:val="auto"/>
                <w:kern w:val="0"/>
                <w:sz w:val="20"/>
                <w:szCs w:val="20"/>
              </w:rPr>
            </w:pP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一</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深圳展团标准展位及整体形象搭建</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1</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深圳参展企业标准展位搭建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hint="default" w:ascii="宋体" w:hAnsi="宋体" w:eastAsia="宋体" w:cs="宋体"/>
                <w:color w:val="auto"/>
                <w:kern w:val="0"/>
                <w:sz w:val="20"/>
                <w:szCs w:val="20"/>
              </w:rPr>
            </w:pPr>
            <w:r>
              <w:rPr>
                <w:rFonts w:hint="eastAsia" w:ascii="宋体" w:hAnsi="宋体" w:eastAsia="宋体" w:cs="宋体"/>
                <w:b w:val="0"/>
                <w:bCs w:val="0"/>
                <w:color w:val="auto"/>
                <w:kern w:val="0"/>
                <w:sz w:val="20"/>
                <w:szCs w:val="20"/>
              </w:rPr>
              <w:t>深圳参展企业标准展位</w:t>
            </w:r>
            <w:r>
              <w:rPr>
                <w:rFonts w:hint="default" w:ascii="宋体" w:hAnsi="宋体" w:eastAsia="宋体" w:cs="宋体"/>
                <w:b w:val="0"/>
                <w:bCs w:val="0"/>
                <w:color w:val="auto"/>
                <w:kern w:val="0"/>
                <w:sz w:val="20"/>
                <w:szCs w:val="20"/>
              </w:rPr>
              <w:t>数量共XX个。</w:t>
            </w: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color w:val="auto"/>
                <w:kern w:val="0"/>
                <w:sz w:val="20"/>
                <w:szCs w:val="20"/>
              </w:rPr>
            </w:pPr>
            <w:r>
              <w:rPr>
                <w:rFonts w:hint="default" w:ascii="宋体" w:hAnsi="宋体" w:eastAsia="宋体" w:cs="宋体"/>
                <w:b w:val="0"/>
                <w:bCs w:val="0"/>
                <w:color w:val="auto"/>
                <w:kern w:val="0"/>
                <w:sz w:val="20"/>
                <w:szCs w:val="20"/>
              </w:rPr>
              <w:t>2</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深圳展团整体形象搭建</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小计</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r>
        <w:tblPrEx>
          <w:tblCellMar>
            <w:top w:w="0" w:type="dxa"/>
            <w:left w:w="108" w:type="dxa"/>
            <w:bottom w:w="0" w:type="dxa"/>
            <w:right w:w="108" w:type="dxa"/>
          </w:tblCellMar>
        </w:tblPrEx>
        <w:trPr>
          <w:trHeight w:val="48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0"/>
                <w:szCs w:val="20"/>
              </w:rPr>
            </w:pPr>
            <w:r>
              <w:rPr>
                <w:rFonts w:hint="default" w:ascii="宋体" w:hAnsi="宋体" w:eastAsia="宋体" w:cs="宋体"/>
                <w:b/>
                <w:bCs/>
                <w:color w:val="auto"/>
                <w:kern w:val="0"/>
                <w:sz w:val="20"/>
                <w:szCs w:val="20"/>
              </w:rPr>
              <w:t>二</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eastAsia" w:ascii="宋体" w:hAnsi="宋体" w:eastAsia="宋体" w:cs="宋体"/>
                <w:b/>
                <w:bCs/>
                <w:color w:val="auto"/>
                <w:kern w:val="0"/>
                <w:sz w:val="20"/>
                <w:szCs w:val="20"/>
              </w:rPr>
              <w:t>安保费</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r>
              <w:rPr>
                <w:rFonts w:ascii="宋体" w:hAnsi="宋体" w:eastAsia="宋体" w:cs="宋体"/>
                <w:color w:val="auto"/>
                <w:kern w:val="0"/>
                <w:sz w:val="20"/>
                <w:szCs w:val="20"/>
              </w:rPr>
              <w:t>安检机保安数量共</w:t>
            </w:r>
            <w:r>
              <w:rPr>
                <w:rFonts w:hint="default" w:ascii="宋体" w:hAnsi="宋体" w:eastAsia="宋体" w:cs="宋体"/>
                <w:color w:val="auto"/>
                <w:kern w:val="0"/>
                <w:sz w:val="20"/>
                <w:szCs w:val="20"/>
              </w:rPr>
              <w:t>XX人天；巡场保安数量共XX人天。</w:t>
            </w: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1</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hint="default" w:ascii="宋体" w:hAnsi="宋体" w:eastAsia="宋体" w:cs="宋体"/>
                <w:color w:val="auto"/>
                <w:kern w:val="0"/>
                <w:sz w:val="20"/>
                <w:szCs w:val="20"/>
              </w:rPr>
            </w:pP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小计</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r>
        <w:tblPrEx>
          <w:tblCellMar>
            <w:top w:w="0" w:type="dxa"/>
            <w:left w:w="108" w:type="dxa"/>
            <w:bottom w:w="0" w:type="dxa"/>
            <w:right w:w="108" w:type="dxa"/>
          </w:tblCellMar>
        </w:tblPrEx>
        <w:trPr>
          <w:trHeight w:val="720"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0"/>
                <w:szCs w:val="20"/>
              </w:rPr>
            </w:pPr>
            <w:r>
              <w:rPr>
                <w:rFonts w:hint="default" w:ascii="宋体" w:hAnsi="宋体" w:eastAsia="宋体" w:cs="宋体"/>
                <w:b/>
                <w:bCs/>
                <w:color w:val="auto"/>
                <w:kern w:val="0"/>
                <w:sz w:val="20"/>
                <w:szCs w:val="20"/>
              </w:rPr>
              <w:t>三</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人员劳务费</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hint="default" w:ascii="宋体" w:hAnsi="宋体" w:eastAsia="宋体" w:cs="宋体"/>
                <w:b/>
                <w:bCs/>
                <w:color w:val="auto"/>
                <w:kern w:val="0"/>
                <w:sz w:val="20"/>
                <w:szCs w:val="20"/>
              </w:rPr>
            </w:pPr>
            <w:r>
              <w:rPr>
                <w:rFonts w:ascii="宋体" w:hAnsi="宋体" w:eastAsia="宋体" w:cs="宋体"/>
                <w:b w:val="0"/>
                <w:bCs w:val="0"/>
                <w:color w:val="auto"/>
                <w:kern w:val="0"/>
                <w:sz w:val="20"/>
                <w:szCs w:val="20"/>
              </w:rPr>
              <w:t>志愿者及礼仪数量共</w:t>
            </w:r>
            <w:r>
              <w:rPr>
                <w:rFonts w:hint="default" w:ascii="宋体" w:hAnsi="宋体" w:eastAsia="宋体" w:cs="宋体"/>
                <w:b w:val="0"/>
                <w:bCs w:val="0"/>
                <w:color w:val="auto"/>
                <w:kern w:val="0"/>
                <w:sz w:val="20"/>
                <w:szCs w:val="20"/>
              </w:rPr>
              <w:t>XX人天。</w:t>
            </w: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合计</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bl>
    <w:p>
      <w:pPr>
        <w:rPr>
          <w:rFonts w:hint="default"/>
        </w:rPr>
      </w:pPr>
      <w:r>
        <w:rPr>
          <w:rFonts w:hint="default"/>
        </w:rPr>
        <w:br w:type="page"/>
      </w: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黑体" w:hAnsi="黑体" w:eastAsia="黑体" w:cs="黑体"/>
        </w:rPr>
      </w:pPr>
      <w:r>
        <w:rPr>
          <w:rFonts w:hint="eastAsia" w:ascii="黑体" w:hAnsi="黑体" w:eastAsia="黑体" w:cs="黑体"/>
        </w:rPr>
        <w:t>附件</w:t>
      </w:r>
      <w:r>
        <w:rPr>
          <w:rFonts w:hint="default" w:ascii="黑体" w:hAnsi="黑体" w:eastAsia="黑体" w:cs="黑体"/>
        </w:rPr>
        <w:t>2-2</w:t>
      </w:r>
    </w:p>
    <w:p>
      <w:pPr>
        <w:pStyle w:val="2"/>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参加老字号博览会项目</w:t>
      </w:r>
    </w:p>
    <w:p>
      <w:pPr>
        <w:pStyle w:val="2"/>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申报项目特装展位搭建经费支出明细表</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highlight w:val="yellow"/>
          <w:lang w:eastAsia="zh-CN"/>
        </w:rPr>
      </w:pPr>
      <w:r>
        <w:rPr>
          <w:rFonts w:hint="default" w:ascii="宋体" w:hAnsi="宋体" w:cs="宋体"/>
          <w:color w:val="auto"/>
          <w:kern w:val="0"/>
          <w:sz w:val="20"/>
          <w:szCs w:val="20"/>
        </w:rPr>
        <w:t>申报单位</w:t>
      </w:r>
      <w:r>
        <w:rPr>
          <w:rFonts w:hint="eastAsia" w:ascii="宋体" w:hAnsi="宋体" w:eastAsia="宋体" w:cs="宋体"/>
          <w:color w:val="auto"/>
          <w:kern w:val="0"/>
          <w:sz w:val="20"/>
          <w:szCs w:val="20"/>
        </w:rPr>
        <w:t>：</w:t>
      </w:r>
      <w:r>
        <w:rPr>
          <w:rFonts w:hint="default" w:ascii="宋体" w:hAnsi="宋体" w:eastAsia="宋体" w:cs="宋体"/>
          <w:color w:val="auto"/>
          <w:kern w:val="0"/>
          <w:sz w:val="20"/>
          <w:szCs w:val="20"/>
        </w:rPr>
        <w:t xml:space="preserve">                                                                                                            </w:t>
      </w:r>
      <w:r>
        <w:rPr>
          <w:rFonts w:hint="default" w:ascii="宋体" w:hAnsi="宋体" w:cs="宋体"/>
          <w:color w:val="auto"/>
          <w:kern w:val="0"/>
          <w:sz w:val="20"/>
          <w:szCs w:val="20"/>
        </w:rPr>
        <w:t xml:space="preserve">       </w:t>
      </w:r>
      <w:r>
        <w:rPr>
          <w:rFonts w:hint="eastAsia" w:ascii="宋体" w:hAnsi="宋体" w:eastAsia="宋体" w:cs="宋体"/>
          <w:color w:val="auto"/>
          <w:kern w:val="0"/>
          <w:sz w:val="20"/>
          <w:szCs w:val="20"/>
        </w:rPr>
        <w:t>单位：元</w:t>
      </w:r>
    </w:p>
    <w:tbl>
      <w:tblPr>
        <w:tblStyle w:val="9"/>
        <w:tblW w:w="13828" w:type="dxa"/>
        <w:tblInd w:w="-142" w:type="dxa"/>
        <w:tblLayout w:type="fixed"/>
        <w:tblCellMar>
          <w:top w:w="0" w:type="dxa"/>
          <w:left w:w="108" w:type="dxa"/>
          <w:bottom w:w="0" w:type="dxa"/>
          <w:right w:w="108" w:type="dxa"/>
        </w:tblCellMar>
      </w:tblPr>
      <w:tblGrid>
        <w:gridCol w:w="702"/>
        <w:gridCol w:w="2167"/>
        <w:gridCol w:w="1360"/>
        <w:gridCol w:w="825"/>
        <w:gridCol w:w="675"/>
        <w:gridCol w:w="656"/>
        <w:gridCol w:w="657"/>
        <w:gridCol w:w="618"/>
        <w:gridCol w:w="694"/>
        <w:gridCol w:w="619"/>
        <w:gridCol w:w="637"/>
        <w:gridCol w:w="675"/>
        <w:gridCol w:w="732"/>
        <w:gridCol w:w="675"/>
        <w:gridCol w:w="1068"/>
        <w:gridCol w:w="1068"/>
      </w:tblGrid>
      <w:tr>
        <w:tblPrEx>
          <w:tblCellMar>
            <w:top w:w="0" w:type="dxa"/>
            <w:left w:w="108" w:type="dxa"/>
            <w:bottom w:w="0" w:type="dxa"/>
            <w:right w:w="108" w:type="dxa"/>
          </w:tblCellMar>
        </w:tblPrEx>
        <w:trPr>
          <w:trHeight w:val="480" w:hRule="atLeast"/>
          <w:tblHeader/>
        </w:trPr>
        <w:tc>
          <w:tcPr>
            <w:tcW w:w="702"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序号</w:t>
            </w:r>
          </w:p>
        </w:tc>
        <w:tc>
          <w:tcPr>
            <w:tcW w:w="2167"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费用名称</w:t>
            </w:r>
          </w:p>
        </w:tc>
        <w:tc>
          <w:tcPr>
            <w:tcW w:w="1360" w:type="dxa"/>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r>
              <w:rPr>
                <w:rFonts w:hint="default" w:ascii="宋体" w:hAnsi="宋体" w:eastAsia="宋体" w:cs="宋体"/>
                <w:b/>
                <w:bCs/>
                <w:color w:val="auto"/>
                <w:kern w:val="0"/>
                <w:sz w:val="20"/>
                <w:szCs w:val="20"/>
              </w:rPr>
              <w:t>费用</w:t>
            </w:r>
            <w:r>
              <w:rPr>
                <w:rFonts w:hint="eastAsia" w:ascii="宋体" w:hAnsi="宋体" w:eastAsia="宋体" w:cs="宋体"/>
                <w:b/>
                <w:bCs/>
                <w:color w:val="auto"/>
                <w:kern w:val="0"/>
                <w:sz w:val="20"/>
                <w:szCs w:val="20"/>
              </w:rPr>
              <w:t>内容</w:t>
            </w:r>
          </w:p>
        </w:tc>
        <w:tc>
          <w:tcPr>
            <w:tcW w:w="825" w:type="dxa"/>
            <w:vMerge w:val="restart"/>
            <w:tcBorders>
              <w:top w:val="single" w:color="auto" w:sz="4" w:space="0"/>
              <w:left w:val="nil"/>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收款方</w:t>
            </w:r>
          </w:p>
        </w:tc>
        <w:tc>
          <w:tcPr>
            <w:tcW w:w="33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cs="宋体"/>
                <w:b/>
                <w:bCs/>
                <w:color w:val="auto"/>
                <w:kern w:val="0"/>
                <w:sz w:val="20"/>
                <w:szCs w:val="20"/>
              </w:rPr>
            </w:pPr>
            <w:r>
              <w:rPr>
                <w:rFonts w:hint="default" w:ascii="宋体" w:hAnsi="宋体" w:cs="宋体"/>
                <w:b/>
                <w:bCs/>
                <w:color w:val="auto"/>
                <w:kern w:val="0"/>
                <w:sz w:val="20"/>
                <w:szCs w:val="20"/>
              </w:rPr>
              <w:t>发票信息</w:t>
            </w:r>
          </w:p>
        </w:tc>
        <w:tc>
          <w:tcPr>
            <w:tcW w:w="333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r>
              <w:rPr>
                <w:rFonts w:hint="default" w:ascii="宋体" w:hAnsi="宋体" w:cs="宋体"/>
                <w:b/>
                <w:bCs/>
                <w:color w:val="auto"/>
                <w:kern w:val="0"/>
                <w:sz w:val="20"/>
                <w:szCs w:val="20"/>
              </w:rPr>
              <w:t>付款信息</w:t>
            </w:r>
          </w:p>
        </w:tc>
        <w:tc>
          <w:tcPr>
            <w:tcW w:w="1068" w:type="dxa"/>
            <w:vMerge w:val="restart"/>
            <w:tcBorders>
              <w:top w:val="single" w:color="auto" w:sz="4" w:space="0"/>
              <w:left w:val="nil"/>
              <w:right w:val="single" w:color="auto" w:sz="4" w:space="0"/>
            </w:tcBorders>
            <w:vAlign w:val="center"/>
          </w:tcPr>
          <w:p>
            <w:pPr>
              <w:widowControl/>
              <w:jc w:val="center"/>
              <w:rPr>
                <w:rFonts w:hint="default" w:ascii="宋体" w:hAnsi="宋体" w:eastAsia="宋体" w:cs="宋体"/>
                <w:b/>
                <w:bCs/>
                <w:color w:val="auto"/>
                <w:kern w:val="0"/>
                <w:sz w:val="20"/>
                <w:szCs w:val="20"/>
              </w:rPr>
            </w:pPr>
            <w:r>
              <w:rPr>
                <w:rFonts w:hint="default" w:ascii="宋体" w:hAnsi="宋体" w:eastAsia="宋体" w:cs="宋体"/>
                <w:b/>
                <w:bCs/>
                <w:color w:val="auto"/>
                <w:kern w:val="0"/>
                <w:sz w:val="20"/>
                <w:szCs w:val="20"/>
              </w:rPr>
              <w:t>申报金额</w:t>
            </w:r>
          </w:p>
        </w:tc>
        <w:tc>
          <w:tcPr>
            <w:tcW w:w="1068" w:type="dxa"/>
            <w:vMerge w:val="restart"/>
            <w:tcBorders>
              <w:top w:val="single" w:color="auto" w:sz="4" w:space="0"/>
              <w:left w:val="nil"/>
              <w:right w:val="single" w:color="auto" w:sz="4" w:space="0"/>
            </w:tcBorders>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备注</w:t>
            </w:r>
          </w:p>
        </w:tc>
      </w:tr>
      <w:tr>
        <w:tblPrEx>
          <w:tblCellMar>
            <w:top w:w="0" w:type="dxa"/>
            <w:left w:w="108" w:type="dxa"/>
            <w:bottom w:w="0" w:type="dxa"/>
            <w:right w:w="108" w:type="dxa"/>
          </w:tblCellMar>
        </w:tblPrEx>
        <w:trPr>
          <w:trHeight w:val="480" w:hRule="atLeast"/>
          <w:tblHeader/>
        </w:trPr>
        <w:tc>
          <w:tcPr>
            <w:tcW w:w="70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p>
        </w:tc>
        <w:tc>
          <w:tcPr>
            <w:tcW w:w="2167"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0"/>
                <w:szCs w:val="20"/>
              </w:rPr>
            </w:pPr>
          </w:p>
        </w:tc>
        <w:tc>
          <w:tcPr>
            <w:tcW w:w="136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0"/>
                <w:szCs w:val="20"/>
              </w:rPr>
            </w:pPr>
          </w:p>
        </w:tc>
        <w:tc>
          <w:tcPr>
            <w:tcW w:w="825" w:type="dxa"/>
            <w:vMerge w:val="continue"/>
            <w:tcBorders>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凭证日期</w:t>
            </w:r>
          </w:p>
        </w:tc>
        <w:tc>
          <w:tcPr>
            <w:tcW w:w="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凭证号</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发票日期</w:t>
            </w:r>
          </w:p>
        </w:tc>
        <w:tc>
          <w:tcPr>
            <w:tcW w:w="6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发票号</w:t>
            </w:r>
          </w:p>
        </w:tc>
        <w:tc>
          <w:tcPr>
            <w:tcW w:w="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发票金额</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凭证日期</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凭证号</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b/>
                <w:bCs/>
                <w:color w:val="auto"/>
                <w:kern w:val="0"/>
                <w:sz w:val="20"/>
                <w:szCs w:val="20"/>
              </w:rPr>
            </w:pPr>
            <w:r>
              <w:rPr>
                <w:rFonts w:hint="default" w:ascii="宋体" w:hAnsi="宋体" w:cs="宋体"/>
                <w:b/>
                <w:bCs/>
                <w:color w:val="auto"/>
                <w:kern w:val="0"/>
                <w:sz w:val="20"/>
                <w:szCs w:val="20"/>
              </w:rPr>
              <w:t>付款日期</w:t>
            </w:r>
          </w:p>
        </w:tc>
        <w:tc>
          <w:tcPr>
            <w:tcW w:w="732"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b/>
                <w:bCs/>
                <w:color w:val="auto"/>
                <w:kern w:val="0"/>
                <w:sz w:val="20"/>
                <w:szCs w:val="20"/>
              </w:rPr>
            </w:pPr>
            <w:r>
              <w:rPr>
                <w:rFonts w:hint="default" w:ascii="宋体" w:hAnsi="宋体" w:cs="宋体"/>
                <w:b/>
                <w:bCs/>
                <w:color w:val="auto"/>
                <w:kern w:val="0"/>
                <w:sz w:val="20"/>
                <w:szCs w:val="20"/>
              </w:rPr>
              <w:t>付款金额</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b/>
                <w:bCs/>
                <w:color w:val="auto"/>
                <w:kern w:val="0"/>
                <w:sz w:val="20"/>
                <w:szCs w:val="20"/>
              </w:rPr>
            </w:pPr>
            <w:r>
              <w:rPr>
                <w:rFonts w:hint="default" w:ascii="宋体" w:hAnsi="宋体" w:cs="宋体"/>
                <w:b/>
                <w:bCs/>
                <w:color w:val="auto"/>
                <w:kern w:val="0"/>
                <w:sz w:val="20"/>
                <w:szCs w:val="20"/>
              </w:rPr>
              <w:t>付款方式</w:t>
            </w:r>
          </w:p>
        </w:tc>
        <w:tc>
          <w:tcPr>
            <w:tcW w:w="1068" w:type="dxa"/>
            <w:vMerge w:val="continue"/>
            <w:tcBorders>
              <w:left w:val="nil"/>
              <w:bottom w:val="single" w:color="auto" w:sz="4" w:space="0"/>
              <w:right w:val="single" w:color="auto" w:sz="4" w:space="0"/>
            </w:tcBorders>
            <w:vAlign w:val="center"/>
          </w:tcPr>
          <w:p>
            <w:pPr>
              <w:widowControl/>
              <w:jc w:val="center"/>
              <w:rPr>
                <w:rFonts w:hint="default" w:ascii="宋体" w:hAnsi="宋体" w:eastAsia="宋体" w:cs="宋体"/>
                <w:b/>
                <w:bCs/>
                <w:color w:val="auto"/>
                <w:kern w:val="0"/>
                <w:sz w:val="20"/>
                <w:szCs w:val="20"/>
              </w:rPr>
            </w:pPr>
          </w:p>
        </w:tc>
        <w:tc>
          <w:tcPr>
            <w:tcW w:w="1068" w:type="dxa"/>
            <w:vMerge w:val="continue"/>
            <w:tcBorders>
              <w:left w:val="nil"/>
              <w:bottom w:val="single" w:color="auto" w:sz="4" w:space="0"/>
              <w:right w:val="single" w:color="auto" w:sz="4" w:space="0"/>
            </w:tcBorders>
            <w:vAlign w:val="center"/>
          </w:tcPr>
          <w:p>
            <w:pPr>
              <w:widowControl/>
              <w:jc w:val="center"/>
              <w:rPr>
                <w:rFonts w:hint="default" w:ascii="宋体" w:hAnsi="宋体" w:eastAsia="宋体" w:cs="宋体"/>
                <w:b/>
                <w:bCs/>
                <w:color w:val="auto"/>
                <w:kern w:val="0"/>
                <w:sz w:val="20"/>
                <w:szCs w:val="20"/>
              </w:rPr>
            </w:pP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1</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 w:val="20"/>
                <w:szCs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hint="default" w:ascii="宋体" w:hAnsi="宋体" w:eastAsia="宋体" w:cs="宋体"/>
                <w:color w:val="auto"/>
                <w:kern w:val="0"/>
                <w:sz w:val="20"/>
                <w:szCs w:val="20"/>
              </w:rPr>
            </w:pP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val="0"/>
                <w:bCs w:val="0"/>
                <w:color w:val="auto"/>
                <w:kern w:val="0"/>
                <w:sz w:val="20"/>
                <w:szCs w:val="20"/>
              </w:rPr>
            </w:pPr>
            <w:r>
              <w:rPr>
                <w:rFonts w:hint="default" w:ascii="宋体" w:hAnsi="宋体" w:eastAsia="宋体" w:cs="宋体"/>
                <w:b w:val="0"/>
                <w:bCs w:val="0"/>
                <w:color w:val="auto"/>
                <w:kern w:val="0"/>
                <w:sz w:val="20"/>
                <w:szCs w:val="20"/>
              </w:rPr>
              <w:t>2</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auto"/>
                <w:kern w:val="0"/>
                <w:sz w:val="20"/>
                <w:szCs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color w:val="auto"/>
                <w:kern w:val="0"/>
                <w:sz w:val="20"/>
                <w:szCs w:val="20"/>
              </w:rPr>
            </w:pPr>
          </w:p>
        </w:tc>
      </w:tr>
      <w:tr>
        <w:tblPrEx>
          <w:tblCellMar>
            <w:top w:w="0" w:type="dxa"/>
            <w:left w:w="108" w:type="dxa"/>
            <w:bottom w:w="0" w:type="dxa"/>
            <w:right w:w="108" w:type="dxa"/>
          </w:tblCellMar>
        </w:tblPrEx>
        <w:trPr>
          <w:trHeight w:val="276" w:hRule="atLeast"/>
        </w:trPr>
        <w:tc>
          <w:tcPr>
            <w:tcW w:w="7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合计</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0"/>
                <w:szCs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7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5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5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9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3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auto"/>
                <w:kern w:val="0"/>
                <w:sz w:val="20"/>
                <w:szCs w:val="20"/>
              </w:rPr>
            </w:pPr>
          </w:p>
        </w:tc>
        <w:tc>
          <w:tcPr>
            <w:tcW w:w="675"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auto"/>
                <w:kern w:val="0"/>
                <w:sz w:val="20"/>
                <w:szCs w:val="20"/>
              </w:rPr>
            </w:pPr>
          </w:p>
        </w:tc>
        <w:tc>
          <w:tcPr>
            <w:tcW w:w="732"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675"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c>
          <w:tcPr>
            <w:tcW w:w="1068" w:type="dxa"/>
            <w:tcBorders>
              <w:top w:val="nil"/>
              <w:left w:val="nil"/>
              <w:bottom w:val="single" w:color="auto" w:sz="4" w:space="0"/>
              <w:right w:val="single" w:color="auto" w:sz="4" w:space="0"/>
            </w:tcBorders>
          </w:tcPr>
          <w:p>
            <w:pPr>
              <w:widowControl/>
              <w:jc w:val="left"/>
              <w:rPr>
                <w:rFonts w:ascii="宋体" w:hAnsi="宋体" w:eastAsia="宋体" w:cs="宋体"/>
                <w:b/>
                <w:bCs/>
                <w:color w:val="auto"/>
                <w:kern w:val="0"/>
                <w:sz w:val="20"/>
                <w:szCs w:val="20"/>
              </w:rPr>
            </w:pPr>
          </w:p>
        </w:tc>
      </w:tr>
    </w:tbl>
    <w:p>
      <w:pPr>
        <w:rPr>
          <w:rFonts w:hint="default"/>
        </w:rPr>
      </w:pPr>
      <w:r>
        <w:rPr>
          <w:rFonts w:hint="default"/>
        </w:rPr>
        <w:br w:type="page"/>
      </w: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default" w:ascii="黑体" w:hAnsi="黑体" w:eastAsia="黑体" w:cs="黑体"/>
          <w:color w:val="auto"/>
          <w:sz w:val="32"/>
          <w:szCs w:val="32"/>
          <w:lang w:eastAsia="zh-CN"/>
        </w:rPr>
        <w:t>3</w:t>
      </w:r>
    </w:p>
    <w:p>
      <w:pPr>
        <w:keepNext w:val="0"/>
        <w:keepLines w:val="0"/>
        <w:pageBreakBefore w:val="0"/>
        <w:kinsoku/>
        <w:overflowPunct/>
        <w:topLinePunct w:val="0"/>
        <w:bidi w:val="0"/>
        <w:spacing w:line="56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举办老字号博览会项目</w:t>
      </w:r>
    </w:p>
    <w:p>
      <w:pPr>
        <w:keepNext w:val="0"/>
        <w:keepLines w:val="0"/>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eastAsia="方正小标宋简体"/>
          <w:color w:val="auto"/>
          <w:sz w:val="44"/>
          <w:szCs w:val="44"/>
        </w:rPr>
        <w:t>申报项目深圳参展企业标准展位清单</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color w:val="auto"/>
          <w:sz w:val="32"/>
          <w:szCs w:val="32"/>
          <w:lang w:eastAsia="zh-CN"/>
        </w:rPr>
      </w:pPr>
    </w:p>
    <w:tbl>
      <w:tblPr>
        <w:tblStyle w:val="10"/>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3877"/>
        <w:gridCol w:w="193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vAlign w:val="center"/>
          </w:tcPr>
          <w:p>
            <w:pPr>
              <w:pStyle w:val="2"/>
              <w:ind w:left="0" w:leftChars="0" w:firstLine="0" w:firstLineChars="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序号</w:t>
            </w:r>
          </w:p>
        </w:tc>
        <w:tc>
          <w:tcPr>
            <w:tcW w:w="3877" w:type="dxa"/>
            <w:vAlign w:val="center"/>
          </w:tcPr>
          <w:p>
            <w:pPr>
              <w:pStyle w:val="2"/>
              <w:ind w:left="0" w:leftChars="0" w:firstLine="0" w:firstLineChars="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企业名称</w:t>
            </w:r>
          </w:p>
        </w:tc>
        <w:tc>
          <w:tcPr>
            <w:tcW w:w="1935" w:type="dxa"/>
            <w:vAlign w:val="center"/>
          </w:tcPr>
          <w:p>
            <w:pPr>
              <w:pStyle w:val="2"/>
              <w:ind w:left="0" w:leftChars="0" w:firstLine="0" w:firstLineChars="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展位位置</w:t>
            </w:r>
          </w:p>
          <w:p>
            <w:pPr>
              <w:pStyle w:val="2"/>
              <w:ind w:left="0" w:leftChars="0" w:firstLine="0" w:firstLineChars="0"/>
              <w:jc w:val="center"/>
              <w:rPr>
                <w:rFonts w:hint="default" w:ascii="宋体" w:hAnsi="宋体" w:eastAsia="宋体" w:cs="宋体"/>
                <w:b/>
                <w:bCs/>
                <w:sz w:val="20"/>
                <w:szCs w:val="20"/>
                <w:vertAlign w:val="baseline"/>
                <w:lang w:eastAsia="zh-CN"/>
              </w:rPr>
            </w:pPr>
            <w:r>
              <w:rPr>
                <w:rFonts w:hint="default" w:ascii="宋体" w:hAnsi="宋体" w:eastAsia="宋体" w:cs="宋体"/>
                <w:b w:val="0"/>
                <w:bCs w:val="0"/>
                <w:sz w:val="20"/>
                <w:szCs w:val="20"/>
                <w:vertAlign w:val="baseline"/>
                <w:lang w:eastAsia="zh-CN"/>
              </w:rPr>
              <w:t>（与展位图对应）</w:t>
            </w:r>
          </w:p>
        </w:tc>
        <w:tc>
          <w:tcPr>
            <w:tcW w:w="1911" w:type="dxa"/>
            <w:vAlign w:val="center"/>
          </w:tcPr>
          <w:p>
            <w:pPr>
              <w:pStyle w:val="2"/>
              <w:ind w:left="0" w:leftChars="0" w:firstLine="0" w:firstLineChars="0"/>
              <w:jc w:val="center"/>
              <w:rPr>
                <w:rFonts w:hint="default" w:eastAsia="宋体" w:cs="宋体"/>
                <w:b/>
                <w:bCs/>
                <w:sz w:val="20"/>
                <w:szCs w:val="20"/>
                <w:vertAlign w:val="baseline"/>
                <w:lang w:eastAsia="zh-CN"/>
              </w:rPr>
            </w:pPr>
            <w:r>
              <w:rPr>
                <w:rFonts w:hint="eastAsia" w:ascii="宋体" w:hAnsi="宋体" w:eastAsia="宋体" w:cs="宋体"/>
                <w:b/>
                <w:bCs/>
                <w:sz w:val="20"/>
                <w:szCs w:val="20"/>
                <w:vertAlign w:val="baseline"/>
                <w:lang w:eastAsia="zh-CN"/>
              </w:rPr>
              <w:t>现场展示的代表性品牌或产品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vAlign w:val="center"/>
          </w:tcPr>
          <w:p>
            <w:pPr>
              <w:pStyle w:val="2"/>
              <w:jc w:val="center"/>
              <w:rPr>
                <w:rFonts w:hint="eastAsia" w:ascii="宋体" w:hAnsi="宋体" w:eastAsia="宋体" w:cs="宋体"/>
                <w:sz w:val="20"/>
                <w:szCs w:val="20"/>
                <w:vertAlign w:val="baseline"/>
                <w:lang w:eastAsia="zh-CN"/>
              </w:rPr>
            </w:pPr>
          </w:p>
        </w:tc>
        <w:tc>
          <w:tcPr>
            <w:tcW w:w="3877" w:type="dxa"/>
            <w:vAlign w:val="center"/>
          </w:tcPr>
          <w:p>
            <w:pPr>
              <w:pStyle w:val="2"/>
              <w:jc w:val="center"/>
              <w:rPr>
                <w:rFonts w:hint="eastAsia" w:ascii="宋体" w:hAnsi="宋体" w:eastAsia="宋体" w:cs="宋体"/>
                <w:sz w:val="20"/>
                <w:szCs w:val="20"/>
                <w:vertAlign w:val="baseline"/>
                <w:lang w:eastAsia="zh-CN"/>
              </w:rPr>
            </w:pPr>
          </w:p>
        </w:tc>
        <w:tc>
          <w:tcPr>
            <w:tcW w:w="1935" w:type="dxa"/>
            <w:vAlign w:val="center"/>
          </w:tcPr>
          <w:p>
            <w:pPr>
              <w:pStyle w:val="2"/>
              <w:jc w:val="center"/>
              <w:rPr>
                <w:rFonts w:hint="eastAsia" w:ascii="宋体" w:hAnsi="宋体" w:eastAsia="宋体" w:cs="宋体"/>
                <w:sz w:val="20"/>
                <w:szCs w:val="20"/>
                <w:vertAlign w:val="baseline"/>
                <w:lang w:eastAsia="zh-CN"/>
              </w:rPr>
            </w:pPr>
          </w:p>
        </w:tc>
        <w:tc>
          <w:tcPr>
            <w:tcW w:w="1911" w:type="dxa"/>
            <w:vAlign w:val="center"/>
          </w:tcPr>
          <w:p>
            <w:pPr>
              <w:pStyle w:val="2"/>
              <w:jc w:val="center"/>
              <w:rPr>
                <w:rFonts w:hint="eastAsia" w:ascii="宋体" w:hAnsi="宋体" w:eastAsia="宋体" w:cs="宋体"/>
                <w:sz w:val="20"/>
                <w:szCs w:val="20"/>
                <w:vertAlign w:val="baseline"/>
                <w:lang w:eastAsia="zh-CN"/>
              </w:rPr>
            </w:pPr>
          </w:p>
        </w:tc>
      </w:tr>
    </w:tbl>
    <w:p>
      <w:pPr>
        <w:pStyle w:val="2"/>
        <w:ind w:left="0" w:leftChars="0" w:firstLine="0" w:firstLineChars="0"/>
        <w:jc w:val="center"/>
        <w:rPr>
          <w:rFonts w:hint="default"/>
          <w:lang w:eastAsia="zh-CN"/>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rPr>
      </w:pP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83556"/>
    <w:rsid w:val="13DF2817"/>
    <w:rsid w:val="15A048EE"/>
    <w:rsid w:val="1A57FAE0"/>
    <w:rsid w:val="1B0CBC08"/>
    <w:rsid w:val="2DD9619F"/>
    <w:rsid w:val="34F1B27A"/>
    <w:rsid w:val="3EB39AD8"/>
    <w:rsid w:val="3EBD52A4"/>
    <w:rsid w:val="3FFF35AE"/>
    <w:rsid w:val="4F6F1D65"/>
    <w:rsid w:val="4FF6499F"/>
    <w:rsid w:val="555F0E71"/>
    <w:rsid w:val="57356F6C"/>
    <w:rsid w:val="592760A6"/>
    <w:rsid w:val="59B7DEA9"/>
    <w:rsid w:val="5BFFA74F"/>
    <w:rsid w:val="5EEFDBD8"/>
    <w:rsid w:val="5EFF5B46"/>
    <w:rsid w:val="5FFD7981"/>
    <w:rsid w:val="65F83556"/>
    <w:rsid w:val="69FFCBA3"/>
    <w:rsid w:val="6DF6DC28"/>
    <w:rsid w:val="6DFF376F"/>
    <w:rsid w:val="6F97BC44"/>
    <w:rsid w:val="716DF874"/>
    <w:rsid w:val="75BF391D"/>
    <w:rsid w:val="76F6BF25"/>
    <w:rsid w:val="773F816A"/>
    <w:rsid w:val="77DE99D5"/>
    <w:rsid w:val="77FB814B"/>
    <w:rsid w:val="7BD3BD9C"/>
    <w:rsid w:val="7DF756EF"/>
    <w:rsid w:val="7DFF94AC"/>
    <w:rsid w:val="7EB2372D"/>
    <w:rsid w:val="7EBF7B06"/>
    <w:rsid w:val="7F647D07"/>
    <w:rsid w:val="7F7DA411"/>
    <w:rsid w:val="7FBF29F8"/>
    <w:rsid w:val="97F7DA23"/>
    <w:rsid w:val="97FD1CFE"/>
    <w:rsid w:val="9DAF6387"/>
    <w:rsid w:val="9E7B150F"/>
    <w:rsid w:val="A737F83F"/>
    <w:rsid w:val="B4FF7F5E"/>
    <w:rsid w:val="B9F93078"/>
    <w:rsid w:val="BBB96D9E"/>
    <w:rsid w:val="BDCE3C6F"/>
    <w:rsid w:val="BEF7F549"/>
    <w:rsid w:val="BF4EBDD9"/>
    <w:rsid w:val="CBCFB0E7"/>
    <w:rsid w:val="CE779A37"/>
    <w:rsid w:val="CF7F45D7"/>
    <w:rsid w:val="D6CFC4CB"/>
    <w:rsid w:val="DA7741E3"/>
    <w:rsid w:val="DA9E9AE7"/>
    <w:rsid w:val="DBEED415"/>
    <w:rsid w:val="DFBBF26E"/>
    <w:rsid w:val="DFBD28F2"/>
    <w:rsid w:val="E6B21091"/>
    <w:rsid w:val="E7BCDB97"/>
    <w:rsid w:val="EC6FBD43"/>
    <w:rsid w:val="EDB45C92"/>
    <w:rsid w:val="EF6D2980"/>
    <w:rsid w:val="EFFDF274"/>
    <w:rsid w:val="F6CFBE99"/>
    <w:rsid w:val="F77FFFB9"/>
    <w:rsid w:val="F7D777B2"/>
    <w:rsid w:val="F9AD25BC"/>
    <w:rsid w:val="F9B2E168"/>
    <w:rsid w:val="F9F397E8"/>
    <w:rsid w:val="FAFC894A"/>
    <w:rsid w:val="FB8F8A2E"/>
    <w:rsid w:val="FBB5FB60"/>
    <w:rsid w:val="FBC71D9A"/>
    <w:rsid w:val="FBDE78B1"/>
    <w:rsid w:val="FBE7FCDE"/>
    <w:rsid w:val="FDB97C25"/>
    <w:rsid w:val="FDEEC418"/>
    <w:rsid w:val="FF352794"/>
    <w:rsid w:val="FF66C58F"/>
    <w:rsid w:val="FF7C16B4"/>
    <w:rsid w:val="FFDFE76A"/>
    <w:rsid w:val="FFFB72EE"/>
    <w:rsid w:val="FFFE8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styleId="3">
    <w:name w:val="annotation text"/>
    <w:basedOn w:val="1"/>
    <w:qFormat/>
    <w:uiPriority w:val="0"/>
    <w:pPr>
      <w:jc w:val="left"/>
    </w:pPr>
  </w:style>
  <w:style w:type="paragraph" w:styleId="4">
    <w:name w:val="Body Text"/>
    <w:basedOn w:val="1"/>
    <w:next w:val="1"/>
    <w:qFormat/>
    <w:uiPriority w:val="0"/>
    <w:rPr>
      <w:rFonts w:ascii="Times New Roman" w:hAnsi="Times New Roman" w:eastAsia="文星仿宋" w:cs="Times New Roman"/>
      <w:sz w:val="32"/>
    </w:rPr>
  </w:style>
  <w:style w:type="paragraph" w:styleId="5">
    <w:name w:val="Date"/>
    <w:basedOn w:val="1"/>
    <w:next w:val="1"/>
    <w:qFormat/>
    <w:uiPriority w:val="0"/>
    <w:rPr>
      <w:rFonts w:ascii="Times New Roman" w:hAnsi="Times New Roman"/>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w:basedOn w:val="4"/>
    <w:qFormat/>
    <w:uiPriority w:val="0"/>
    <w:pPr>
      <w:ind w:firstLine="420" w:firstLineChars="100"/>
    </w:pPr>
  </w:style>
  <w:style w:type="paragraph" w:styleId="8">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2024-01-31T01:38:00Z</dcterms:created>
  <dc:creator>田雪颖</dc:creator>
  <cp:lastModifiedBy>网站运维(陈梓标)</cp:lastModifiedBy>
  <dcterms:modified xsi:type="dcterms:W3CDTF">2024-03-14T16:12:41Z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D4A0ADDAD20AACDD79B1F265E4A9FF60</vt:lpwstr>
  </property>
</Properties>
</file>