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adjustRightInd w:val="0"/>
        <w:snapToGrid w:val="0"/>
        <w:spacing w:line="560" w:lineRule="exact"/>
        <w:jc w:val="left"/>
        <w:rPr>
          <w:rFonts w:ascii="黑体" w:hAnsi="黑体" w:eastAsia="黑体" w:cs="黑体"/>
          <w:sz w:val="32"/>
          <w:szCs w:val="3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深圳市龙岗区工业和信息化产业发展专项资金关于支持时尚产业发展实施细则</w:t>
      </w:r>
    </w:p>
    <w:p>
      <w:pPr>
        <w:jc w:val="center"/>
        <w:rPr>
          <w:rFonts w:hint="default" w:ascii="仿宋_GB2312" w:hAnsi="仿宋_GB2312" w:eastAsia="仿宋_GB2312" w:cs="仿宋_GB2312"/>
          <w:sz w:val="32"/>
          <w:szCs w:val="32"/>
        </w:rPr>
      </w:pPr>
    </w:p>
    <w:p>
      <w:pPr>
        <w:numPr>
          <w:ilvl w:val="0"/>
          <w:numId w:val="1"/>
        </w:num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总则</w:t>
      </w:r>
    </w:p>
    <w:p>
      <w:pPr>
        <w:pStyle w:val="3"/>
        <w:spacing w:line="560" w:lineRule="exact"/>
      </w:pPr>
    </w:p>
    <w:p>
      <w:pPr>
        <w:numPr>
          <w:ilvl w:val="-1"/>
          <w:numId w:val="0"/>
        </w:numPr>
        <w:adjustRightInd w:val="0"/>
        <w:snapToGrid w:val="0"/>
        <w:spacing w:line="560" w:lineRule="exact"/>
        <w:ind w:left="0" w:firstLine="642" w:firstLineChars="200"/>
        <w:rPr>
          <w:rFonts w:ascii="仿宋_GB2312" w:hAnsi="Arial" w:eastAsia="仿宋_GB2312" w:cs="Arial"/>
          <w:sz w:val="32"/>
          <w:szCs w:val="32"/>
        </w:rPr>
      </w:pPr>
      <w:r>
        <w:rPr>
          <w:rFonts w:hint="eastAsia" w:ascii="仿宋_GB2312" w:hAnsi="Arial" w:eastAsia="仿宋_GB2312" w:cs="Arial"/>
          <w:b/>
          <w:bCs/>
          <w:sz w:val="32"/>
          <w:szCs w:val="32"/>
        </w:rPr>
        <w:t>第</w:t>
      </w:r>
      <w:r>
        <w:rPr>
          <w:rFonts w:hint="default" w:ascii="仿宋_GB2312" w:hAnsi="Arial" w:eastAsia="仿宋_GB2312" w:cs="Arial"/>
          <w:b/>
          <w:bCs/>
          <w:sz w:val="32"/>
          <w:szCs w:val="32"/>
        </w:rPr>
        <w:t>一</w:t>
      </w:r>
      <w:r>
        <w:rPr>
          <w:rFonts w:hint="eastAsia" w:ascii="仿宋_GB2312" w:hAnsi="Arial" w:eastAsia="仿宋_GB2312" w:cs="Arial"/>
          <w:b/>
          <w:bCs/>
          <w:sz w:val="32"/>
          <w:szCs w:val="32"/>
        </w:rPr>
        <w:t>条</w:t>
      </w:r>
      <w:r>
        <w:rPr>
          <w:rFonts w:hint="eastAsia" w:ascii="仿宋_GB2312" w:hAnsi="Arial" w:eastAsia="仿宋_GB2312" w:cs="Arial"/>
          <w:sz w:val="32"/>
          <w:szCs w:val="32"/>
        </w:rPr>
        <w:t xml:space="preserve"> 为贯彻落实《深圳市时尚产业高质量发展行动计划（2020-2024年）》（深府办〔2020〕4号），规范时尚产业高质量发展扶持计划的组织实施，提高专项资金使用效益和管理水平，有效推动优势传统产业向时尚产业全面转型，实现高质量发展，根据《深圳市龙岗区区级财政专项资金管理办法》（深龙府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Arial" w:eastAsia="仿宋_GB2312" w:cs="Arial"/>
          <w:sz w:val="32"/>
          <w:szCs w:val="32"/>
        </w:rPr>
        <w:t>〕1号）、《深圳市龙岗区</w:t>
      </w:r>
      <w:r>
        <w:rPr>
          <w:rFonts w:ascii="仿宋_GB2312" w:hAnsi="Arial" w:eastAsia="仿宋_GB2312" w:cs="Arial"/>
          <w:sz w:val="32"/>
          <w:szCs w:val="32"/>
        </w:rPr>
        <w:t>工业和信息化</w:t>
      </w:r>
      <w:r>
        <w:rPr>
          <w:rFonts w:hint="eastAsia" w:ascii="仿宋_GB2312" w:hAnsi="Arial" w:eastAsia="仿宋_GB2312" w:cs="Arial"/>
          <w:sz w:val="32"/>
          <w:szCs w:val="32"/>
        </w:rPr>
        <w:t>产业发展专项资金管理办法》</w:t>
      </w:r>
      <w:r>
        <w:rPr>
          <w:rFonts w:ascii="仿宋_GB2312" w:hAnsi="Arial" w:eastAsia="仿宋_GB2312" w:cs="Arial"/>
          <w:sz w:val="32"/>
          <w:szCs w:val="32"/>
        </w:rPr>
        <w:t>（深龙工信规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w:t>
      </w:r>
      <w:r>
        <w:rPr>
          <w:rFonts w:hint="eastAsia" w:ascii="仿宋_GB2312" w:hAnsi="Arial" w:eastAsia="仿宋_GB2312" w:cs="Arial"/>
          <w:sz w:val="32"/>
          <w:szCs w:val="32"/>
        </w:rPr>
        <w:t>〕</w:t>
      </w:r>
      <w:r>
        <w:rPr>
          <w:rFonts w:ascii="仿宋_GB2312" w:hAnsi="Arial" w:eastAsia="仿宋_GB2312" w:cs="Arial"/>
          <w:sz w:val="32"/>
          <w:szCs w:val="32"/>
        </w:rPr>
        <w:t>5</w:t>
      </w:r>
      <w:r>
        <w:rPr>
          <w:rFonts w:hint="eastAsia" w:ascii="仿宋_GB2312" w:hAnsi="Arial" w:eastAsia="仿宋_GB2312" w:cs="Arial"/>
          <w:sz w:val="32"/>
          <w:szCs w:val="32"/>
        </w:rPr>
        <w:t>号</w:t>
      </w:r>
      <w:r>
        <w:rPr>
          <w:rFonts w:ascii="仿宋_GB2312" w:hAnsi="Arial" w:eastAsia="仿宋_GB2312" w:cs="Arial"/>
          <w:sz w:val="32"/>
          <w:szCs w:val="32"/>
        </w:rPr>
        <w:t>）</w:t>
      </w:r>
      <w:r>
        <w:rPr>
          <w:rFonts w:hint="eastAsia" w:ascii="仿宋_GB2312" w:hAnsi="Arial" w:eastAsia="仿宋_GB2312" w:cs="Arial"/>
          <w:sz w:val="32"/>
          <w:szCs w:val="32"/>
        </w:rPr>
        <w:t>和《深圳市龙岗区关于促进时尚产业高质量发展若干措施》</w:t>
      </w:r>
      <w:r>
        <w:rPr>
          <w:rFonts w:hint="eastAsia" w:ascii="仿宋_GB2312" w:hAnsi="仿宋_GB2312" w:eastAsia="仿宋_GB2312" w:cs="仿宋_GB2312"/>
          <w:sz w:val="32"/>
          <w:szCs w:val="32"/>
        </w:rPr>
        <w:t>（深龙工信规〔2023〕</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号），结合工作实际，制定本实施细则。</w:t>
      </w:r>
    </w:p>
    <w:p>
      <w:pPr>
        <w:pStyle w:val="3"/>
        <w:spacing w:line="560" w:lineRule="exact"/>
        <w:rPr>
          <w:rFonts w:ascii="仿宋_GB2312" w:hAnsi="Arial" w:eastAsia="仿宋_GB2312" w:cs="Arial"/>
          <w:sz w:val="32"/>
          <w:szCs w:val="32"/>
        </w:rPr>
      </w:pPr>
      <w:r>
        <w:rPr>
          <w:rFonts w:hint="eastAsia" w:ascii="仿宋_GB2312" w:hAnsi="Arial" w:eastAsia="仿宋_GB2312" w:cs="Arial"/>
          <w:sz w:val="32"/>
          <w:szCs w:val="32"/>
        </w:rPr>
        <w:t xml:space="preserve">    </w:t>
      </w:r>
      <w:r>
        <w:rPr>
          <w:rFonts w:hint="eastAsia" w:ascii="仿宋_GB2312" w:hAnsi="Arial" w:eastAsia="仿宋_GB2312" w:cs="Arial"/>
          <w:b/>
          <w:bCs/>
          <w:sz w:val="32"/>
          <w:szCs w:val="32"/>
        </w:rPr>
        <w:t>第二条</w:t>
      </w:r>
      <w:r>
        <w:rPr>
          <w:rFonts w:hint="eastAsia" w:ascii="仿宋_GB2312" w:hAnsi="Arial" w:eastAsia="仿宋_GB2312" w:cs="Arial"/>
          <w:sz w:val="32"/>
          <w:szCs w:val="32"/>
        </w:rPr>
        <w:t xml:space="preserve"> 本细则所称时尚产业，主要包括服装、家具、钟表、黄金珠宝、内衣、皮革、眼镜、化妆品以及工艺美术等行业。</w:t>
      </w:r>
    </w:p>
    <w:p>
      <w:pPr>
        <w:adjustRightInd w:val="0"/>
        <w:snapToGrid w:val="0"/>
        <w:spacing w:line="560" w:lineRule="exact"/>
        <w:ind w:firstLine="642" w:firstLineChars="200"/>
        <w:rPr>
          <w:rFonts w:ascii="仿宋_GB2312" w:hAnsi="Arial" w:eastAsia="仿宋_GB2312" w:cs="Arial"/>
          <w:sz w:val="32"/>
          <w:szCs w:val="32"/>
        </w:rPr>
      </w:pPr>
      <w:r>
        <w:rPr>
          <w:rFonts w:hint="eastAsia" w:ascii="仿宋_GB2312" w:hAnsi="Arial" w:eastAsia="仿宋_GB2312" w:cs="Arial"/>
          <w:b/>
          <w:bCs/>
          <w:sz w:val="32"/>
          <w:szCs w:val="32"/>
        </w:rPr>
        <w:t>第三条</w:t>
      </w:r>
      <w:r>
        <w:rPr>
          <w:rFonts w:hint="eastAsia" w:ascii="仿宋_GB2312" w:hAnsi="Arial" w:eastAsia="仿宋_GB2312" w:cs="Arial"/>
          <w:sz w:val="32"/>
          <w:szCs w:val="32"/>
        </w:rPr>
        <w:t xml:space="preserve"> 本实施细则所需资金从深圳市龙岗区工业和信息化产业发展专项资金中列支，实行总额控制，如果年度资助规模超出财政预算，则对扶持项目应获资助金额按比例核减。</w:t>
      </w:r>
    </w:p>
    <w:p>
      <w:pPr>
        <w:adjustRightInd w:val="0"/>
        <w:snapToGrid w:val="0"/>
        <w:spacing w:line="560" w:lineRule="exact"/>
        <w:ind w:firstLine="642" w:firstLineChars="200"/>
        <w:rPr>
          <w:rFonts w:ascii="仿宋_GB2312" w:hAnsi="Arial" w:eastAsia="仿宋_GB2312" w:cs="Arial"/>
          <w:sz w:val="32"/>
          <w:szCs w:val="32"/>
        </w:rPr>
      </w:pPr>
      <w:r>
        <w:rPr>
          <w:rFonts w:hint="eastAsia" w:ascii="仿宋_GB2312" w:hAnsi="Arial" w:eastAsia="仿宋_GB2312" w:cs="Arial"/>
          <w:b/>
          <w:bCs/>
          <w:sz w:val="32"/>
          <w:szCs w:val="32"/>
        </w:rPr>
        <w:t>第四条</w:t>
      </w:r>
      <w:r>
        <w:rPr>
          <w:rFonts w:hint="eastAsia" w:ascii="仿宋_GB2312" w:hAnsi="Arial" w:eastAsia="仿宋_GB2312" w:cs="Arial"/>
          <w:sz w:val="32"/>
          <w:szCs w:val="32"/>
        </w:rPr>
        <w:t xml:space="preserve"> 区工业和信息化局</w:t>
      </w:r>
      <w:r>
        <w:rPr>
          <w:rFonts w:ascii="仿宋_GB2312" w:hAnsi="Arial" w:eastAsia="仿宋_GB2312" w:cs="Arial"/>
          <w:sz w:val="32"/>
          <w:szCs w:val="32"/>
        </w:rPr>
        <w:t>（区商务局）</w:t>
      </w:r>
      <w:r>
        <w:rPr>
          <w:rFonts w:hint="eastAsia" w:ascii="仿宋_GB2312" w:hAnsi="Arial" w:eastAsia="仿宋_GB2312" w:cs="Arial"/>
          <w:sz w:val="32"/>
          <w:szCs w:val="32"/>
        </w:rPr>
        <w:t>是本细则的实施部门。</w:t>
      </w:r>
    </w:p>
    <w:p>
      <w:pPr>
        <w:pStyle w:val="3"/>
        <w:spacing w:line="560" w:lineRule="exact"/>
        <w:rPr>
          <w:rFonts w:ascii="仿宋_GB2312" w:hAnsi="Arial" w:eastAsia="仿宋_GB2312" w:cs="Arial"/>
          <w:color w:val="2F5597" w:themeColor="accent5" w:themeShade="BF"/>
          <w:sz w:val="32"/>
          <w:szCs w:val="32"/>
        </w:rPr>
      </w:pPr>
    </w:p>
    <w:p>
      <w:pPr>
        <w:rPr>
          <w:rFonts w:ascii="仿宋_GB2312" w:hAnsi="Arial" w:eastAsia="仿宋_GB2312" w:cs="Arial"/>
          <w:color w:val="2F5597" w:themeColor="accent5" w:themeShade="BF"/>
          <w:sz w:val="32"/>
          <w:szCs w:val="32"/>
        </w:rPr>
      </w:pPr>
    </w:p>
    <w:p>
      <w:pPr>
        <w:pStyle w:val="7"/>
        <w:widowControl w:val="0"/>
        <w:numPr>
          <w:ilvl w:val="0"/>
          <w:numId w:val="1"/>
        </w:numPr>
        <w:shd w:val="clear" w:color="auto" w:fill="FFFFFF"/>
        <w:adjustRightInd w:val="0"/>
        <w:snapToGrid w:val="0"/>
        <w:spacing w:before="0" w:beforeAutospacing="0" w:after="0" w:afterAutospacing="0"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职责分工</w:t>
      </w:r>
    </w:p>
    <w:p>
      <w:pPr>
        <w:pStyle w:val="7"/>
        <w:widowControl w:val="0"/>
        <w:shd w:val="clear" w:color="auto" w:fill="FFFFFF"/>
        <w:adjustRightInd w:val="0"/>
        <w:snapToGrid w:val="0"/>
        <w:spacing w:before="0" w:beforeAutospacing="0" w:after="0" w:afterAutospacing="0" w:line="560" w:lineRule="exact"/>
        <w:jc w:val="both"/>
        <w:rPr>
          <w:rFonts w:ascii="黑体" w:hAnsi="黑体" w:eastAsia="黑体" w:cs="黑体"/>
          <w:color w:val="auto"/>
          <w:sz w:val="32"/>
          <w:szCs w:val="32"/>
        </w:rPr>
      </w:pPr>
    </w:p>
    <w:p>
      <w:pPr>
        <w:pStyle w:val="7"/>
        <w:spacing w:before="0" w:beforeAutospacing="0" w:after="0" w:afterAutospacing="0" w:line="560" w:lineRule="exact"/>
        <w:ind w:firstLine="642" w:firstLineChars="200"/>
        <w:rPr>
          <w:rFonts w:ascii="仿宋_GB2312" w:hAnsi="Arial" w:eastAsia="仿宋_GB2312" w:cs="Arial"/>
          <w:color w:val="auto"/>
          <w:kern w:val="2"/>
          <w:sz w:val="32"/>
          <w:szCs w:val="32"/>
        </w:rPr>
      </w:pPr>
      <w:r>
        <w:rPr>
          <w:rFonts w:hint="eastAsia" w:ascii="仿宋_GB2312" w:hAnsi="Arial" w:eastAsia="仿宋_GB2312" w:cs="Arial"/>
          <w:b/>
          <w:bCs/>
          <w:color w:val="auto"/>
          <w:kern w:val="2"/>
          <w:sz w:val="32"/>
          <w:szCs w:val="32"/>
        </w:rPr>
        <w:t>第五条</w:t>
      </w:r>
      <w:r>
        <w:rPr>
          <w:rFonts w:hint="eastAsia" w:ascii="仿宋_GB2312" w:hAnsi="Arial" w:eastAsia="仿宋_GB2312" w:cs="Arial"/>
          <w:color w:val="auto"/>
          <w:kern w:val="2"/>
          <w:sz w:val="32"/>
          <w:szCs w:val="32"/>
        </w:rPr>
        <w:t xml:space="preserve"> 区工业和信息化部门负责编制并发布项目申请指南，组织项目申报、初审、专项审计等工作，负责项目查重、公示及申诉处理，下达专项资金扶持计划，办理专项资金拨付手续；组织开展绩效评价，配合区财政部门、审计部门和监察机关对资金使用和管理进行监督检查；以及职能范围内的其他工作事项。</w:t>
      </w:r>
    </w:p>
    <w:p>
      <w:pPr>
        <w:pStyle w:val="7"/>
        <w:spacing w:before="0" w:beforeAutospacing="0" w:after="0" w:afterAutospacing="0" w:line="560" w:lineRule="exact"/>
        <w:ind w:firstLine="642" w:firstLineChars="200"/>
        <w:rPr>
          <w:color w:val="auto"/>
        </w:rPr>
      </w:pPr>
      <w:r>
        <w:rPr>
          <w:rFonts w:hint="eastAsia" w:ascii="仿宋_GB2312" w:hAnsi="Arial" w:eastAsia="仿宋_GB2312" w:cs="Arial"/>
          <w:b/>
          <w:bCs/>
          <w:color w:val="auto"/>
          <w:kern w:val="2"/>
          <w:sz w:val="32"/>
          <w:szCs w:val="32"/>
        </w:rPr>
        <w:t>第六条</w:t>
      </w:r>
      <w:r>
        <w:rPr>
          <w:rFonts w:hint="eastAsia" w:ascii="仿宋_GB2312" w:hAnsi="Arial" w:eastAsia="仿宋_GB2312" w:cs="Arial"/>
          <w:color w:val="auto"/>
          <w:kern w:val="2"/>
          <w:sz w:val="32"/>
          <w:szCs w:val="32"/>
        </w:rPr>
        <w:t xml:space="preserve"> 项目单位在符合申报条件的前提下，按申请指南要求进行项目申报，提交项目申请书等资料，并对申报项目的完整性、准确性和真实性负责，配合区工业和信息化部门、财政部门和审计部门及其受托机构完成相关统计、监督、检查、评价等工作，承担专项资金使用责任。</w:t>
      </w:r>
    </w:p>
    <w:p>
      <w:pPr>
        <w:pStyle w:val="7"/>
        <w:spacing w:before="0" w:beforeAutospacing="0" w:after="0" w:afterAutospacing="0" w:line="560" w:lineRule="exact"/>
        <w:ind w:firstLine="642" w:firstLineChars="200"/>
        <w:rPr>
          <w:rFonts w:ascii="仿宋_GB2312" w:hAnsi="Arial" w:eastAsia="仿宋_GB2312" w:cs="Arial"/>
          <w:color w:val="auto"/>
          <w:kern w:val="2"/>
          <w:sz w:val="32"/>
          <w:szCs w:val="32"/>
        </w:rPr>
      </w:pPr>
      <w:r>
        <w:rPr>
          <w:rFonts w:hint="eastAsia" w:ascii="仿宋_GB2312" w:hAnsi="Arial" w:eastAsia="仿宋_GB2312" w:cs="Arial"/>
          <w:b/>
          <w:bCs/>
          <w:color w:val="auto"/>
          <w:kern w:val="2"/>
          <w:sz w:val="32"/>
          <w:szCs w:val="32"/>
        </w:rPr>
        <w:t>第七条</w:t>
      </w:r>
      <w:r>
        <w:rPr>
          <w:rFonts w:hint="eastAsia" w:ascii="仿宋_GB2312" w:hAnsi="Arial" w:eastAsia="仿宋_GB2312" w:cs="Arial"/>
          <w:color w:val="auto"/>
          <w:kern w:val="2"/>
          <w:sz w:val="32"/>
          <w:szCs w:val="32"/>
        </w:rPr>
        <w:t xml:space="preserve"> </w:t>
      </w:r>
      <w:r>
        <w:rPr>
          <w:rFonts w:hint="eastAsia" w:ascii="仿宋_GB2312" w:hAnsi="仿宋_GB2312" w:eastAsia="仿宋_GB2312" w:cs="仿宋_GB2312"/>
          <w:color w:val="auto"/>
          <w:kern w:val="0"/>
          <w:sz w:val="32"/>
          <w:szCs w:val="32"/>
          <w:highlight w:val="none"/>
          <w:lang w:val="en-US" w:eastAsia="zh-CN"/>
        </w:rPr>
        <w:t>适宜由社会专业力量协助的专业性工作，区工业和信息化部门可根据工作需要，委托第三方专业服务机构协助开展</w:t>
      </w:r>
      <w:r>
        <w:rPr>
          <w:rFonts w:hint="eastAsia" w:ascii="仿宋_GB2312" w:hAnsi="仿宋_GB2312" w:eastAsia="仿宋_GB2312" w:cs="仿宋_GB2312"/>
          <w:color w:val="auto"/>
          <w:kern w:val="2"/>
          <w:sz w:val="32"/>
          <w:szCs w:val="32"/>
        </w:rPr>
        <w:t>。</w:t>
      </w:r>
      <w:r>
        <w:rPr>
          <w:rFonts w:hint="eastAsia" w:ascii="仿宋_GB2312" w:hAnsi="Arial" w:eastAsia="仿宋_GB2312" w:cs="Arial"/>
          <w:color w:val="auto"/>
          <w:kern w:val="2"/>
          <w:sz w:val="32"/>
          <w:szCs w:val="32"/>
        </w:rPr>
        <w:t>受委托的第三方专业服务机构按约履责，完善内控制度，按规定做好相关信息的安全管理和保密工作。</w:t>
      </w:r>
    </w:p>
    <w:p>
      <w:pPr>
        <w:pStyle w:val="7"/>
        <w:spacing w:before="0" w:beforeAutospacing="0" w:after="0" w:afterAutospacing="0" w:line="560" w:lineRule="exact"/>
        <w:ind w:firstLine="640" w:firstLineChars="200"/>
        <w:rPr>
          <w:rFonts w:ascii="仿宋_GB2312" w:hAnsi="Arial" w:eastAsia="仿宋_GB2312" w:cs="Arial"/>
          <w:color w:val="2F5597" w:themeColor="accent5" w:themeShade="BF"/>
          <w:kern w:val="2"/>
          <w:sz w:val="32"/>
          <w:szCs w:val="32"/>
        </w:rPr>
      </w:pPr>
    </w:p>
    <w:p>
      <w:pPr>
        <w:pStyle w:val="7"/>
        <w:widowControl w:val="0"/>
        <w:numPr>
          <w:ilvl w:val="0"/>
          <w:numId w:val="1"/>
        </w:numPr>
        <w:shd w:val="clear" w:color="auto" w:fill="FFFFFF"/>
        <w:adjustRightInd w:val="0"/>
        <w:snapToGrid w:val="0"/>
        <w:spacing w:before="0" w:beforeAutospacing="0" w:after="0" w:afterAutospacing="0"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扶持范围、标准和审核方式</w:t>
      </w:r>
    </w:p>
    <w:p>
      <w:pPr>
        <w:pStyle w:val="7"/>
        <w:widowControl w:val="0"/>
        <w:shd w:val="clear" w:color="auto" w:fill="FFFFFF"/>
        <w:adjustRightInd w:val="0"/>
        <w:snapToGrid w:val="0"/>
        <w:spacing w:before="0" w:beforeAutospacing="0" w:after="0" w:afterAutospacing="0" w:line="560" w:lineRule="exact"/>
        <w:jc w:val="both"/>
        <w:textAlignment w:val="baseline"/>
        <w:rPr>
          <w:rFonts w:ascii="仿宋_GB2312" w:hAnsi="仿宋_GB2312" w:eastAsia="仿宋_GB2312" w:cs="仿宋_GB2312"/>
          <w:b/>
          <w:bCs/>
          <w:color w:val="auto"/>
          <w:kern w:val="2"/>
          <w:sz w:val="32"/>
          <w:szCs w:val="32"/>
        </w:rPr>
      </w:pPr>
    </w:p>
    <w:p>
      <w:pPr>
        <w:pStyle w:val="7"/>
        <w:widowControl w:val="0"/>
        <w:shd w:val="clear" w:color="auto" w:fill="FFFFFF"/>
        <w:adjustRightInd w:val="0"/>
        <w:snapToGrid w:val="0"/>
        <w:spacing w:before="0" w:beforeAutospacing="0" w:after="0" w:afterAutospacing="0" w:line="560" w:lineRule="exact"/>
        <w:ind w:firstLine="642"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rPr>
        <w:t>第八条</w:t>
      </w:r>
      <w:r>
        <w:rPr>
          <w:rFonts w:ascii="仿宋_GB2312" w:hAnsi="仿宋_GB2312" w:eastAsia="仿宋_GB2312" w:cs="仿宋_GB2312"/>
          <w:b/>
          <w:bCs/>
          <w:color w:val="auto"/>
          <w:kern w:val="2"/>
          <w:sz w:val="32"/>
          <w:szCs w:val="32"/>
        </w:rPr>
        <w:t xml:space="preserve"> </w:t>
      </w:r>
      <w:r>
        <w:rPr>
          <w:rFonts w:hint="eastAsia" w:ascii="仿宋_GB2312" w:hAnsi="仿宋_GB2312" w:eastAsia="仿宋_GB2312" w:cs="仿宋_GB2312"/>
          <w:b/>
          <w:bCs/>
          <w:color w:val="auto"/>
          <w:kern w:val="2"/>
          <w:sz w:val="32"/>
          <w:szCs w:val="32"/>
        </w:rPr>
        <w:t>支持</w:t>
      </w:r>
      <w:r>
        <w:rPr>
          <w:rFonts w:ascii="仿宋_GB2312" w:hAnsi="仿宋_GB2312" w:eastAsia="仿宋_GB2312" w:cs="仿宋_GB2312"/>
          <w:b/>
          <w:bCs/>
          <w:color w:val="auto"/>
          <w:kern w:val="2"/>
          <w:sz w:val="32"/>
          <w:szCs w:val="32"/>
        </w:rPr>
        <w:t>时尚</w:t>
      </w:r>
      <w:r>
        <w:rPr>
          <w:rFonts w:hint="eastAsia" w:ascii="仿宋_GB2312" w:hAnsi="仿宋_GB2312" w:eastAsia="仿宋_GB2312" w:cs="仿宋_GB2312"/>
          <w:b/>
          <w:bCs/>
          <w:color w:val="auto"/>
          <w:kern w:val="2"/>
          <w:sz w:val="32"/>
          <w:szCs w:val="32"/>
        </w:rPr>
        <w:t>企业提质增效</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（一）扶持范围：纳入区工业投资统计库的</w:t>
      </w:r>
      <w:r>
        <w:rPr>
          <w:rFonts w:ascii="仿宋_GB2312" w:hAnsi="仿宋_GB2312" w:eastAsia="仿宋_GB2312" w:cs="仿宋_GB2312"/>
          <w:sz w:val="32"/>
          <w:szCs w:val="32"/>
        </w:rPr>
        <w:t>时尚</w:t>
      </w:r>
      <w:r>
        <w:rPr>
          <w:rFonts w:hint="eastAsia" w:ascii="仿宋_GB2312" w:hAnsi="仿宋_GB2312" w:eastAsia="仿宋_GB2312" w:cs="仿宋_GB2312"/>
          <w:sz w:val="32"/>
          <w:szCs w:val="32"/>
        </w:rPr>
        <w:t>企业技术改造投资。</w:t>
      </w:r>
    </w:p>
    <w:p>
      <w:pPr>
        <w:adjustRightInd w:val="0"/>
        <w:snapToGrid w:val="0"/>
        <w:spacing w:line="560" w:lineRule="exact"/>
        <w:ind w:firstLine="640" w:firstLineChars="200"/>
      </w:pPr>
      <w:r>
        <w:rPr>
          <w:rFonts w:hint="eastAsia" w:ascii="仿宋_GB2312" w:hAnsi="仿宋_GB2312" w:eastAsia="仿宋_GB2312" w:cs="仿宋_GB2312"/>
          <w:sz w:val="32"/>
          <w:szCs w:val="32"/>
        </w:rPr>
        <w:t>（二）扶持方式和标准：企业</w:t>
      </w:r>
      <w:r>
        <w:rPr>
          <w:rFonts w:ascii="仿宋_GB2312" w:hAnsi="仿宋_GB2312" w:eastAsia="仿宋_GB2312" w:cs="仿宋_GB2312"/>
          <w:sz w:val="32"/>
          <w:szCs w:val="32"/>
        </w:rPr>
        <w:t>上一年度</w:t>
      </w:r>
      <w:r>
        <w:rPr>
          <w:rFonts w:hint="eastAsia" w:ascii="仿宋_GB2312" w:hAnsi="仿宋_GB2312" w:eastAsia="仿宋_GB2312" w:cs="仿宋_GB2312"/>
          <w:sz w:val="32"/>
          <w:szCs w:val="32"/>
        </w:rPr>
        <w:t>技术改造年度投资额</w:t>
      </w:r>
      <w:r>
        <w:rPr>
          <w:rFonts w:ascii="仿宋_GB2312" w:hAnsi="仿宋_GB2312" w:eastAsia="仿宋_GB2312" w:cs="仿宋_GB2312"/>
          <w:sz w:val="32"/>
          <w:szCs w:val="32"/>
        </w:rPr>
        <w:t>不低于100万元</w:t>
      </w:r>
      <w:r>
        <w:rPr>
          <w:rFonts w:hint="eastAsia" w:ascii="仿宋_GB2312" w:hAnsi="仿宋_GB2312" w:eastAsia="仿宋_GB2312" w:cs="仿宋_GB2312"/>
          <w:sz w:val="32"/>
          <w:szCs w:val="32"/>
        </w:rPr>
        <w:t>的，按</w:t>
      </w:r>
      <w:r>
        <w:rPr>
          <w:rFonts w:ascii="仿宋_GB2312" w:hAnsi="仿宋_GB2312" w:eastAsia="仿宋_GB2312" w:cs="仿宋_GB2312"/>
          <w:sz w:val="32"/>
          <w:szCs w:val="32"/>
        </w:rPr>
        <w:t>上一年度</w:t>
      </w:r>
      <w:r>
        <w:rPr>
          <w:rFonts w:hint="eastAsia" w:ascii="仿宋_GB2312" w:hAnsi="仿宋_GB2312" w:eastAsia="仿宋_GB2312" w:cs="仿宋_GB2312"/>
          <w:sz w:val="32"/>
          <w:szCs w:val="32"/>
        </w:rPr>
        <w:t>投资额</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给予</w:t>
      </w:r>
      <w:r>
        <w:rPr>
          <w:rFonts w:hint="eastAsia" w:ascii="仿宋_GB2312" w:hAnsi="仿宋_GB2312" w:eastAsia="仿宋_GB2312" w:cs="仿宋_GB2312"/>
          <w:sz w:val="32"/>
          <w:szCs w:val="32"/>
        </w:rPr>
        <w:t>资助，</w:t>
      </w:r>
      <w:r>
        <w:rPr>
          <w:rFonts w:ascii="仿宋_GB2312" w:hAnsi="仿宋_GB2312" w:eastAsia="仿宋_GB2312" w:cs="仿宋_GB2312"/>
          <w:sz w:val="32"/>
          <w:szCs w:val="32"/>
        </w:rPr>
        <w:t>每年</w:t>
      </w:r>
      <w:r>
        <w:rPr>
          <w:rFonts w:hint="eastAsia" w:ascii="仿宋_GB2312" w:hAnsi="仿宋_GB2312" w:eastAsia="仿宋_GB2312" w:cs="仿宋_GB2312"/>
          <w:sz w:val="32"/>
          <w:szCs w:val="32"/>
        </w:rPr>
        <w:t>不超过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（三）审核方式：核准制。</w:t>
      </w:r>
      <w:r>
        <w:rPr>
          <w:rFonts w:ascii="仿宋_GB2312" w:hAnsi="仿宋_GB2312" w:eastAsia="仿宋_GB2312" w:cs="仿宋_GB2312"/>
          <w:color w:val="auto"/>
          <w:sz w:val="32"/>
          <w:szCs w:val="32"/>
        </w:rPr>
        <w:t>本条项下扶持资金在本实施细则有效期内连续3年都可申请</w:t>
      </w:r>
      <w:r>
        <w:rPr>
          <w:rFonts w:hint="eastAsia" w:ascii="仿宋_GB2312" w:hAnsi="仿宋_GB2312" w:eastAsia="仿宋_GB2312" w:cs="仿宋_GB2312"/>
          <w:color w:val="auto"/>
          <w:sz w:val="32"/>
          <w:szCs w:val="32"/>
        </w:rPr>
        <w:t>。</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1.项目申报。</w:t>
      </w:r>
      <w:r>
        <w:rPr>
          <w:rFonts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rPr>
        <w:t>工业和信息化部门公开发布年度企业提质增效项目申请指南，项目单位根据要求进行申报。</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2.专项审计。</w:t>
      </w:r>
      <w:r>
        <w:rPr>
          <w:rFonts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rPr>
        <w:t>工业和信息化部门委托会计师事务所对为实施该项目实际投入的费用开展专项审计。</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3.项目公示。通过专项审计，并经公示无异议的项目，列为年度时尚产业支持企业提质增效项目。</w:t>
      </w:r>
    </w:p>
    <w:p>
      <w:pPr>
        <w:pStyle w:val="7"/>
        <w:widowControl w:val="0"/>
        <w:shd w:val="clear" w:color="auto" w:fill="FFFFFF"/>
        <w:adjustRightInd w:val="0"/>
        <w:snapToGrid w:val="0"/>
        <w:spacing w:before="0" w:beforeAutospacing="0" w:after="0" w:afterAutospacing="0" w:line="560" w:lineRule="exact"/>
        <w:ind w:firstLine="642"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第九条　完善时尚行业支撑体系</w:t>
      </w:r>
    </w:p>
    <w:p>
      <w:pPr>
        <w:adjustRightInd w:val="0"/>
        <w:snapToGrid w:val="0"/>
        <w:spacing w:line="560" w:lineRule="exact"/>
        <w:ind w:firstLine="48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（一）扶持范围：支持各类公共服务平台打造</w:t>
      </w:r>
      <w:r>
        <w:rPr>
          <w:rFonts w:hint="eastAsia" w:ascii="仿宋_GB2312" w:hAnsi="仿宋_GB2312" w:eastAsia="仿宋_GB2312" w:cs="仿宋_GB2312"/>
          <w:sz w:val="32"/>
          <w:szCs w:val="32"/>
        </w:rPr>
        <w:t>支撑产业创新发展的知识产权保护、技术标准国内外认证、研发检验检测、</w:t>
      </w:r>
      <w:r>
        <w:rPr>
          <w:rFonts w:ascii="仿宋_GB2312" w:hAnsi="仿宋_GB2312" w:eastAsia="仿宋_GB2312" w:cs="仿宋_GB2312"/>
          <w:sz w:val="32"/>
          <w:szCs w:val="32"/>
        </w:rPr>
        <w:t>新型材料研发、</w:t>
      </w:r>
      <w:r>
        <w:rPr>
          <w:rFonts w:hint="eastAsia" w:ascii="仿宋_GB2312" w:hAnsi="仿宋_GB2312" w:eastAsia="仿宋_GB2312" w:cs="仿宋_GB2312"/>
          <w:sz w:val="32"/>
          <w:szCs w:val="32"/>
        </w:rPr>
        <w:t>数字化转型服务、信息数据共享、产品设计赋能、线上直播展销、产品体验、人才培训、创新创业孵化</w:t>
      </w:r>
      <w:r>
        <w:rPr>
          <w:rFonts w:ascii="仿宋_GB2312" w:hAnsi="仿宋_GB2312" w:eastAsia="仿宋_GB2312" w:cs="仿宋_GB2312"/>
          <w:sz w:val="32"/>
          <w:szCs w:val="32"/>
        </w:rPr>
        <w:t>、“时尚+科技”和“时尚+文化”等</w:t>
      </w:r>
      <w:r>
        <w:rPr>
          <w:rFonts w:hint="eastAsia" w:ascii="仿宋_GB2312" w:hAnsi="仿宋_GB2312" w:eastAsia="仿宋_GB2312" w:cs="仿宋_GB2312"/>
          <w:sz w:val="32"/>
          <w:szCs w:val="32"/>
        </w:rPr>
        <w:t>跨界融合的项目</w:t>
      </w:r>
      <w:r>
        <w:rPr>
          <w:rFonts w:hint="eastAsia" w:ascii="仿宋_GB2312" w:hAnsi="仿宋_GB2312" w:eastAsia="仿宋_GB2312" w:cs="仿宋_GB2312"/>
          <w:kern w:val="0"/>
          <w:sz w:val="32"/>
          <w:szCs w:val="32"/>
        </w:rPr>
        <w:t>。</w:t>
      </w:r>
    </w:p>
    <w:p>
      <w:pPr>
        <w:pStyle w:val="3"/>
        <w:adjustRightInd w:val="0"/>
        <w:snapToGrid w:val="0"/>
        <w:spacing w:line="560" w:lineRule="exact"/>
        <w:ind w:firstLine="640" w:firstLineChars="200"/>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rPr>
        <w:t>扶持方式和标准：</w:t>
      </w:r>
      <w:r>
        <w:rPr>
          <w:rFonts w:hint="eastAsia" w:ascii="仿宋_GB2312" w:hAnsi="仿宋_GB2312" w:eastAsia="仿宋_GB2312" w:cs="仿宋_GB2312"/>
          <w:sz w:val="32"/>
          <w:szCs w:val="32"/>
        </w:rPr>
        <w:t>从公共服务平台设立当年起算连续3年，</w:t>
      </w:r>
      <w:r>
        <w:rPr>
          <w:rFonts w:ascii="仿宋_GB2312" w:hAnsi="仿宋_GB2312" w:eastAsia="仿宋_GB2312" w:cs="仿宋_GB2312"/>
          <w:sz w:val="32"/>
          <w:szCs w:val="32"/>
        </w:rPr>
        <w:t>依次</w:t>
      </w:r>
      <w:r>
        <w:rPr>
          <w:rFonts w:hint="eastAsia" w:ascii="仿宋_GB2312" w:hAnsi="仿宋_GB2312" w:eastAsia="仿宋_GB2312" w:cs="仿宋_GB2312"/>
          <w:sz w:val="32"/>
          <w:szCs w:val="32"/>
        </w:rPr>
        <w:t>按照项目</w:t>
      </w:r>
      <w:r>
        <w:rPr>
          <w:rFonts w:ascii="仿宋_GB2312" w:hAnsi="仿宋_GB2312" w:eastAsia="仿宋_GB2312" w:cs="仿宋_GB2312"/>
          <w:sz w:val="32"/>
          <w:szCs w:val="32"/>
        </w:rPr>
        <w:t>当年</w:t>
      </w:r>
      <w:r>
        <w:rPr>
          <w:rFonts w:hint="eastAsia" w:ascii="仿宋_GB2312" w:hAnsi="仿宋_GB2312" w:eastAsia="仿宋_GB2312" w:cs="仿宋_GB2312"/>
          <w:sz w:val="32"/>
          <w:szCs w:val="32"/>
        </w:rPr>
        <w:t>实际投入的50%</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30%和20%</w:t>
      </w:r>
      <w:r>
        <w:rPr>
          <w:rFonts w:hint="eastAsia" w:ascii="仿宋_GB2312" w:hAnsi="仿宋_GB2312" w:eastAsia="仿宋_GB2312" w:cs="仿宋_GB2312"/>
          <w:sz w:val="32"/>
          <w:szCs w:val="32"/>
        </w:rPr>
        <w:t>给予资助，单个项目每年受资助金额不超过200万元。项目总投入包括为实施该项目实际发生的</w:t>
      </w:r>
      <w:r>
        <w:rPr>
          <w:rFonts w:ascii="仿宋_GB2312" w:hAnsi="仿宋_GB2312" w:eastAsia="仿宋_GB2312" w:cs="仿宋_GB2312"/>
          <w:sz w:val="32"/>
          <w:szCs w:val="32"/>
        </w:rPr>
        <w:t>场地租赁、场地装修、</w:t>
      </w:r>
      <w:r>
        <w:rPr>
          <w:rFonts w:hint="eastAsia" w:ascii="仿宋_GB2312" w:hAnsi="仿宋_GB2312" w:eastAsia="仿宋_GB2312" w:cs="仿宋_GB2312"/>
          <w:sz w:val="32"/>
          <w:szCs w:val="32"/>
        </w:rPr>
        <w:t>硬件设备购置、软件购置、测试鉴定、委托开发、知识产权、专家咨询、研发人员、</w:t>
      </w:r>
      <w:r>
        <w:rPr>
          <w:rFonts w:ascii="仿宋_GB2312" w:hAnsi="仿宋_GB2312" w:eastAsia="仿宋_GB2312" w:cs="仿宋_GB2312"/>
          <w:sz w:val="32"/>
          <w:szCs w:val="32"/>
        </w:rPr>
        <w:t>管理人员、</w:t>
      </w:r>
      <w:r>
        <w:rPr>
          <w:rFonts w:hint="eastAsia" w:ascii="仿宋_GB2312" w:hAnsi="仿宋_GB2312" w:eastAsia="仿宋_GB2312" w:cs="仿宋_GB2312"/>
          <w:sz w:val="32"/>
          <w:szCs w:val="32"/>
        </w:rPr>
        <w:t>宣传推广活动等方面的费用。其中，专家咨询、研发人员</w:t>
      </w:r>
      <w:r>
        <w:rPr>
          <w:rFonts w:ascii="仿宋_GB2312" w:hAnsi="仿宋_GB2312" w:eastAsia="仿宋_GB2312" w:cs="仿宋_GB2312"/>
          <w:sz w:val="32"/>
          <w:szCs w:val="32"/>
        </w:rPr>
        <w:t>、管理人员</w:t>
      </w:r>
      <w:r>
        <w:rPr>
          <w:rFonts w:hint="eastAsia" w:ascii="仿宋_GB2312" w:hAnsi="仿宋_GB2312" w:eastAsia="仿宋_GB2312" w:cs="仿宋_GB2312"/>
          <w:sz w:val="32"/>
          <w:szCs w:val="32"/>
        </w:rPr>
        <w:t>等人员投入不超过项目总投入的30%。</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（三）审核方式：</w:t>
      </w:r>
      <w:r>
        <w:rPr>
          <w:rFonts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rPr>
        <w:t>制。本条项下扶持资金在本实施细则有效期内连续3年都可申请。</w:t>
      </w:r>
    </w:p>
    <w:p>
      <w:pPr>
        <w:pStyle w:val="7"/>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1.项目征集。</w:t>
      </w:r>
      <w:r>
        <w:rPr>
          <w:rFonts w:hint="eastAsia" w:ascii="仿宋_GB2312" w:hAnsi="仿宋_GB2312" w:eastAsia="仿宋_GB2312" w:cs="仿宋_GB2312"/>
          <w:color w:val="auto"/>
          <w:sz w:val="32"/>
          <w:szCs w:val="32"/>
        </w:rPr>
        <w:t>区工业和信息化部门公开发布年度时尚</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公共服务平台</w:t>
      </w:r>
      <w:r>
        <w:rPr>
          <w:rFonts w:ascii="仿宋_GB2312" w:hAnsi="仿宋_GB2312" w:eastAsia="仿宋_GB2312" w:cs="仿宋_GB2312"/>
          <w:color w:val="auto"/>
          <w:sz w:val="32"/>
          <w:szCs w:val="32"/>
        </w:rPr>
        <w:t>项目征集通知。项目单位</w:t>
      </w:r>
      <w:r>
        <w:rPr>
          <w:rFonts w:hint="eastAsia" w:ascii="仿宋_GB2312" w:hAnsi="仿宋_GB2312" w:eastAsia="仿宋_GB2312" w:cs="仿宋_GB2312"/>
          <w:color w:val="auto"/>
          <w:sz w:val="32"/>
          <w:szCs w:val="32"/>
        </w:rPr>
        <w:t>到区工业和信息化</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提交申请表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项目可行性报告以及项目当年建设费用预算明细。其中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项目可行性报告要阐明公共服务平台组织架构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计划开展工作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预计形成社会效益和经济效益等内容。</w:t>
      </w:r>
    </w:p>
    <w:p>
      <w:pPr>
        <w:pStyle w:val="7"/>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项目遴选</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区工业和信息化</w:t>
      </w:r>
      <w:r>
        <w:rPr>
          <w:rFonts w:hint="eastAsia" w:ascii="仿宋_GB2312" w:hAnsi="仿宋_GB2312" w:eastAsia="仿宋_GB2312" w:cs="仿宋_GB2312"/>
          <w:color w:val="auto"/>
          <w:sz w:val="32"/>
          <w:szCs w:val="32"/>
          <w:lang w:eastAsia="zh-CN"/>
        </w:rPr>
        <w:t>部门</w:t>
      </w:r>
      <w:r>
        <w:rPr>
          <w:rFonts w:ascii="仿宋_GB2312" w:hAnsi="仿宋_GB2312" w:eastAsia="仿宋_GB2312" w:cs="仿宋_GB2312"/>
          <w:color w:val="auto"/>
          <w:sz w:val="32"/>
          <w:szCs w:val="32"/>
        </w:rPr>
        <w:t>从专家库抽取专家组成项目评审小组对项目进行评价，每年遴选不多于2个拟支持建设的时尚</w:t>
      </w:r>
      <w:r>
        <w:rPr>
          <w:rFonts w:hint="eastAsia" w:ascii="仿宋_GB2312" w:hAnsi="仿宋_GB2312" w:eastAsia="仿宋_GB2312" w:cs="仿宋_GB2312"/>
          <w:color w:val="auto"/>
          <w:sz w:val="32"/>
          <w:szCs w:val="32"/>
          <w:lang w:eastAsia="zh-CN"/>
        </w:rPr>
        <w:t>产业</w:t>
      </w:r>
      <w:r>
        <w:rPr>
          <w:rFonts w:ascii="仿宋_GB2312" w:hAnsi="仿宋_GB2312" w:eastAsia="仿宋_GB2312" w:cs="仿宋_GB2312"/>
          <w:color w:val="auto"/>
          <w:sz w:val="32"/>
          <w:szCs w:val="32"/>
        </w:rPr>
        <w:t>公共服务平台进行公示</w:t>
      </w:r>
      <w:r>
        <w:rPr>
          <w:rFonts w:hint="eastAsia" w:ascii="仿宋_GB2312" w:hAnsi="仿宋_GB2312" w:eastAsia="仿宋_GB2312" w:cs="仿宋_GB2312"/>
          <w:color w:val="auto"/>
          <w:sz w:val="32"/>
          <w:szCs w:val="32"/>
        </w:rPr>
        <w:t>。</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.项目申报。</w:t>
      </w:r>
      <w:r>
        <w:rPr>
          <w:rFonts w:ascii="仿宋_GB2312" w:hAnsi="仿宋_GB2312" w:eastAsia="仿宋_GB2312" w:cs="仿宋_GB2312"/>
          <w:color w:val="auto"/>
          <w:sz w:val="32"/>
          <w:szCs w:val="32"/>
        </w:rPr>
        <w:t>通过遴选的项目</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自设立当年计算</w:t>
      </w:r>
      <w:r>
        <w:rPr>
          <w:rFonts w:hint="eastAsia" w:ascii="仿宋_GB2312" w:hAnsi="仿宋_GB2312" w:eastAsia="仿宋_GB2312" w:cs="仿宋_GB2312"/>
          <w:color w:val="auto"/>
          <w:sz w:val="32"/>
          <w:szCs w:val="32"/>
          <w:lang w:eastAsia="zh-CN"/>
        </w:rPr>
        <w:t>，于</w:t>
      </w:r>
      <w:r>
        <w:rPr>
          <w:rFonts w:ascii="仿宋_GB2312" w:hAnsi="仿宋_GB2312" w:eastAsia="仿宋_GB2312" w:cs="仿宋_GB2312"/>
          <w:color w:val="auto"/>
          <w:sz w:val="32"/>
          <w:szCs w:val="32"/>
        </w:rPr>
        <w:t>第二年到区工业和信息化局申请建设补贴。</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.专项审计。区工业和信息化部门委托会计师事务所对为实施该项目</w:t>
      </w:r>
      <w:r>
        <w:rPr>
          <w:rFonts w:ascii="仿宋_GB2312" w:hAnsi="仿宋_GB2312" w:eastAsia="仿宋_GB2312" w:cs="仿宋_GB2312"/>
          <w:color w:val="auto"/>
          <w:sz w:val="32"/>
          <w:szCs w:val="32"/>
        </w:rPr>
        <w:t>上一年度</w:t>
      </w:r>
      <w:r>
        <w:rPr>
          <w:rFonts w:hint="eastAsia" w:ascii="仿宋_GB2312" w:hAnsi="仿宋_GB2312" w:eastAsia="仿宋_GB2312" w:cs="仿宋_GB2312"/>
          <w:color w:val="auto"/>
          <w:sz w:val="32"/>
          <w:szCs w:val="32"/>
        </w:rPr>
        <w:t>实际投入的费用开展专项审计。</w:t>
      </w:r>
    </w:p>
    <w:p>
      <w:pPr>
        <w:pStyle w:val="3"/>
        <w:widowControl w:val="0"/>
        <w:shd w:val="clear" w:color="auto" w:fill="FFFFFF"/>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.项目公示。通过专项审计，</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经公示无异议的项目，列为年度时尚产业公共服务平台项目。</w:t>
      </w:r>
      <w:r>
        <w:rPr>
          <w:rFonts w:hint="eastAsia" w:ascii="仿宋_GB2312" w:hAnsi="仿宋_GB2312" w:eastAsia="仿宋_GB2312" w:cs="仿宋_GB2312"/>
          <w:sz w:val="32"/>
          <w:szCs w:val="32"/>
        </w:rPr>
        <w:t>　</w:t>
      </w:r>
    </w:p>
    <w:p>
      <w:pPr>
        <w:numPr>
          <w:ilvl w:val="-1"/>
          <w:numId w:val="0"/>
        </w:numPr>
        <w:spacing w:line="560" w:lineRule="exact"/>
        <w:ind w:firstLine="642"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rPr>
        <w:t>条　鼓励时尚头部企业集聚发展</w:t>
      </w:r>
    </w:p>
    <w:p>
      <w:pPr>
        <w:numPr>
          <w:ilvl w:val="-1"/>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（一）扶持范围：鼓励产业园区引进符合以下条件的区外时尚</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总部企业:在龙岗区</w:t>
      </w:r>
      <w:r>
        <w:rPr>
          <w:rFonts w:hint="default" w:ascii="仿宋_GB2312" w:hAnsi="仿宋_GB2312" w:eastAsia="仿宋_GB2312" w:cs="仿宋_GB2312"/>
          <w:sz w:val="32"/>
          <w:szCs w:val="32"/>
        </w:rPr>
        <w:t>实际</w:t>
      </w:r>
      <w:r>
        <w:rPr>
          <w:rFonts w:hint="eastAsia" w:ascii="仿宋_GB2312" w:hAnsi="仿宋_GB2312" w:eastAsia="仿宋_GB2312" w:cs="仿宋_GB2312"/>
          <w:sz w:val="32"/>
          <w:szCs w:val="32"/>
        </w:rPr>
        <w:t>经营</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年（含）以上，上一年度纳入本区统计核算的产值规模（或销售收入）达4亿元及以上</w:t>
      </w:r>
      <w:r>
        <w:rPr>
          <w:rFonts w:hint="default" w:ascii="仿宋_GB2312" w:hAnsi="仿宋_GB2312" w:eastAsia="仿宋_GB2312" w:cs="仿宋_GB2312"/>
          <w:sz w:val="32"/>
          <w:szCs w:val="32"/>
        </w:rPr>
        <w:t>，</w:t>
      </w:r>
      <w:r>
        <w:rPr>
          <w:rFonts w:ascii="仿宋_GB2312" w:hAnsi="仿宋_GB2312" w:eastAsia="仿宋_GB2312" w:cs="仿宋_GB2312"/>
          <w:sz w:val="32"/>
          <w:szCs w:val="32"/>
        </w:rPr>
        <w:t>且在本区上一年度的</w:t>
      </w:r>
      <w:r>
        <w:rPr>
          <w:rFonts w:hint="default" w:ascii="仿宋_GB2312" w:hAnsi="仿宋_GB2312" w:eastAsia="仿宋_GB2312" w:cs="仿宋_GB2312"/>
          <w:sz w:val="32"/>
          <w:szCs w:val="32"/>
        </w:rPr>
        <w:t>收入法增加值达2000万元及以上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（二）扶持方式和标准：</w:t>
      </w:r>
      <w:r>
        <w:rPr>
          <w:rFonts w:hint="eastAsia" w:ascii="仿宋_GB2312" w:hAnsi="仿宋_GB2312" w:eastAsia="仿宋_GB2312" w:cs="仿宋_GB2312"/>
          <w:sz w:val="32"/>
          <w:szCs w:val="32"/>
        </w:rPr>
        <w:t>按照每引进1家企业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给予产业园区运营方一次性招商引资奖励</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00万元，每个园区每年获得奖励总金额不超过</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00万元。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（三）审核方式：核准制。</w:t>
      </w:r>
    </w:p>
    <w:p>
      <w:pPr>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1.项目申报。区工业和信息化部门公开发布年度时尚头部企业集聚发展项目申请指南，项目单位根据要求进行申报。</w:t>
      </w:r>
    </w:p>
    <w:p>
      <w:pPr>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2.专项审计。区工业和信息化部门委托会计师事务所，对为实施该项目所引进的企业上一年度纳入本区统计核算的产值规模（或销售收入）开展专项审计。</w:t>
      </w:r>
    </w:p>
    <w:p>
      <w:pPr>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3.项目公示。通过专项审计，且经公示无异议的项目，列为年度时尚头部企业集聚发展项目。　</w:t>
      </w:r>
      <w:r>
        <w:rPr>
          <w:rFonts w:hint="eastAsia" w:ascii="仿宋_GB2312" w:hAnsi="仿宋_GB2312" w:eastAsia="仿宋_GB2312" w:cs="仿宋_GB2312"/>
          <w:color w:val="auto"/>
          <w:sz w:val="32"/>
          <w:szCs w:val="32"/>
        </w:rPr>
        <w:t>　</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ascii="仿宋_GB2312" w:hAnsi="仿宋_GB2312" w:eastAsia="仿宋_GB2312" w:cs="仿宋_GB2312"/>
          <w:b/>
          <w:bCs/>
          <w:sz w:val="32"/>
          <w:szCs w:val="32"/>
        </w:rPr>
        <w:t>一</w:t>
      </w:r>
      <w:r>
        <w:rPr>
          <w:rFonts w:hint="eastAsia" w:ascii="仿宋_GB2312" w:hAnsi="仿宋_GB2312" w:eastAsia="仿宋_GB2312" w:cs="仿宋_GB2312"/>
          <w:b/>
          <w:bCs/>
          <w:sz w:val="32"/>
          <w:szCs w:val="32"/>
        </w:rPr>
        <w:t>条 促进时尚</w:t>
      </w:r>
      <w:r>
        <w:rPr>
          <w:rFonts w:hint="eastAsia" w:ascii="仿宋_GB2312" w:hAnsi="仿宋_GB2312" w:eastAsia="仿宋_GB2312" w:cs="仿宋_GB2312"/>
          <w:b/>
          <w:bCs/>
          <w:sz w:val="32"/>
          <w:szCs w:val="32"/>
          <w:lang w:eastAsia="zh-CN"/>
        </w:rPr>
        <w:t>产业</w:t>
      </w:r>
      <w:r>
        <w:rPr>
          <w:rFonts w:hint="eastAsia" w:ascii="仿宋_GB2312" w:hAnsi="仿宋_GB2312" w:eastAsia="仿宋_GB2312" w:cs="仿宋_GB2312"/>
          <w:b/>
          <w:bCs/>
          <w:sz w:val="32"/>
          <w:szCs w:val="32"/>
        </w:rPr>
        <w:t>高技能人才成长</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（一）扶持范围：区人力资源局开展时尚</w:t>
      </w:r>
      <w:r>
        <w:rPr>
          <w:rFonts w:hint="eastAsia" w:ascii="仿宋_GB2312" w:hAnsi="仿宋_GB2312" w:eastAsia="仿宋_GB2312" w:cs="仿宋_GB2312"/>
          <w:sz w:val="32"/>
          <w:szCs w:val="32"/>
          <w:lang w:eastAsia="zh-CN"/>
        </w:rPr>
        <w:t>产业</w:t>
      </w:r>
      <w:r>
        <w:rPr>
          <w:rFonts w:ascii="仿宋_GB2312" w:hAnsi="仿宋_GB2312" w:eastAsia="仿宋_GB2312" w:cs="仿宋_GB2312"/>
          <w:sz w:val="32"/>
          <w:szCs w:val="32"/>
        </w:rPr>
        <w:t>技能人才</w:t>
      </w:r>
      <w:r>
        <w:rPr>
          <w:rFonts w:hint="eastAsia" w:ascii="仿宋_GB2312" w:hAnsi="仿宋_GB2312" w:eastAsia="仿宋_GB2312" w:cs="仿宋_GB2312"/>
          <w:sz w:val="32"/>
          <w:szCs w:val="32"/>
        </w:rPr>
        <w:t>遴选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每年遴选10名“龙岗珠宝工匠”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10名“龙岗家具工匠”</w:t>
      </w:r>
      <w:r>
        <w:rPr>
          <w:rFonts w:ascii="仿宋_GB2312" w:hAnsi="仿宋_GB2312" w:eastAsia="仿宋_GB2312" w:cs="仿宋_GB2312"/>
          <w:sz w:val="32"/>
          <w:szCs w:val="32"/>
        </w:rPr>
        <w:t>和10名“龙岗眼镜工匠”。</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（二）扶持方式和标准：经区人力资源局评为“龙岗</w:t>
      </w:r>
      <w:r>
        <w:rPr>
          <w:rFonts w:hint="eastAsia" w:ascii="仿宋_GB2312" w:hAnsi="仿宋_GB2312" w:eastAsia="仿宋_GB2312" w:cs="仿宋_GB2312"/>
          <w:sz w:val="32"/>
          <w:szCs w:val="32"/>
        </w:rPr>
        <w:t>珠宝</w:t>
      </w:r>
      <w:r>
        <w:rPr>
          <w:rFonts w:ascii="仿宋_GB2312" w:hAnsi="仿宋_GB2312" w:eastAsia="仿宋_GB2312" w:cs="仿宋_GB2312"/>
          <w:sz w:val="32"/>
          <w:szCs w:val="32"/>
        </w:rPr>
        <w:t>工匠”，</w:t>
      </w:r>
      <w:r>
        <w:rPr>
          <w:rFonts w:hint="eastAsia" w:ascii="仿宋_GB2312" w:hAnsi="仿宋_GB2312" w:eastAsia="仿宋_GB2312" w:cs="仿宋_GB2312"/>
          <w:sz w:val="32"/>
          <w:szCs w:val="32"/>
        </w:rPr>
        <w:t>“龙岗家具工匠”</w:t>
      </w:r>
      <w:r>
        <w:rPr>
          <w:rFonts w:ascii="仿宋_GB2312" w:hAnsi="仿宋_GB2312" w:eastAsia="仿宋_GB2312" w:cs="仿宋_GB2312"/>
          <w:sz w:val="32"/>
          <w:szCs w:val="32"/>
        </w:rPr>
        <w:t>和“龙岗眼镜工匠”的技能人才，由区工业和信息化局按照</w:t>
      </w:r>
      <w:r>
        <w:rPr>
          <w:rFonts w:hint="eastAsia" w:ascii="仿宋_GB2312" w:hAnsi="仿宋_GB2312" w:eastAsia="仿宋_GB2312" w:cs="仿宋_GB2312"/>
          <w:sz w:val="32"/>
          <w:szCs w:val="32"/>
        </w:rPr>
        <w:t>每人一次性</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万元标准给予奖励</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2023年被评</w:t>
      </w:r>
      <w:r>
        <w:rPr>
          <w:rFonts w:hint="eastAsia" w:ascii="仿宋_GB2312" w:hAnsi="仿宋_GB2312" w:eastAsia="仿宋_GB2312" w:cs="仿宋_GB2312"/>
          <w:sz w:val="32"/>
          <w:szCs w:val="32"/>
          <w:lang w:eastAsia="zh-CN"/>
        </w:rPr>
        <w:t>为</w:t>
      </w:r>
      <w:r>
        <w:rPr>
          <w:rFonts w:ascii="仿宋_GB2312" w:hAnsi="仿宋_GB2312" w:eastAsia="仿宋_GB2312" w:cs="仿宋_GB2312"/>
          <w:sz w:val="32"/>
          <w:szCs w:val="32"/>
        </w:rPr>
        <w:t>“龙岗眼镜工匠”并已获得奖励的技能人才，2024年经区人力资源局复核无误后，由区工业和信息化局每人补足发放</w:t>
      </w:r>
      <w:r>
        <w:rPr>
          <w:rFonts w:hint="default" w:ascii="仿宋_GB2312" w:hAnsi="仿宋_GB2312" w:eastAsia="仿宋_GB2312" w:cs="仿宋_GB2312"/>
          <w:sz w:val="32"/>
          <w:szCs w:val="32"/>
        </w:rPr>
        <w:t>2</w:t>
      </w:r>
      <w:r>
        <w:rPr>
          <w:rFonts w:ascii="仿宋_GB2312" w:hAnsi="仿宋_GB2312" w:eastAsia="仿宋_GB2312" w:cs="仿宋_GB2312"/>
          <w:sz w:val="32"/>
          <w:szCs w:val="32"/>
        </w:rPr>
        <w:t>万元奖励金。</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该条款与现行“龙岗工匠”扶持条款不可同时享受，按“从高、从优、不重复”原则执行。</w:t>
      </w:r>
    </w:p>
    <w:p>
      <w:pPr>
        <w:pStyle w:val="3"/>
        <w:spacing w:line="56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（三）审核方式：核准制。</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rPr>
        <w:t>遴选</w:t>
      </w:r>
      <w:r>
        <w:rPr>
          <w:rFonts w:hint="eastAsia" w:ascii="仿宋_GB2312" w:hAnsi="仿宋_GB2312" w:eastAsia="仿宋_GB2312" w:cs="仿宋_GB2312"/>
          <w:color w:val="auto"/>
          <w:sz w:val="32"/>
          <w:szCs w:val="32"/>
        </w:rPr>
        <w:t>征集。区人力资源</w:t>
      </w:r>
      <w:r>
        <w:rPr>
          <w:rFonts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rPr>
        <w:t>会同区工业和信息化局公开发布年度“龙岗珠宝工匠”</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“龙岗家具工匠”</w:t>
      </w:r>
      <w:r>
        <w:rPr>
          <w:rFonts w:ascii="仿宋_GB2312" w:hAnsi="仿宋_GB2312" w:eastAsia="仿宋_GB2312" w:cs="仿宋_GB2312"/>
          <w:color w:val="auto"/>
          <w:sz w:val="32"/>
          <w:szCs w:val="32"/>
        </w:rPr>
        <w:t>和“龙岗眼镜工匠”</w:t>
      </w:r>
      <w:r>
        <w:rPr>
          <w:rFonts w:hint="default" w:ascii="仿宋_GB2312" w:hAnsi="仿宋_GB2312" w:eastAsia="仿宋_GB2312" w:cs="仿宋_GB2312"/>
          <w:color w:val="auto"/>
          <w:sz w:val="32"/>
          <w:szCs w:val="32"/>
        </w:rPr>
        <w:t>遴选通知</w:t>
      </w:r>
      <w:r>
        <w:rPr>
          <w:rFonts w:hint="eastAsia" w:ascii="仿宋_GB2312" w:hAnsi="仿宋_GB2312" w:eastAsia="仿宋_GB2312" w:cs="仿宋_GB2312"/>
          <w:color w:val="auto"/>
          <w:sz w:val="32"/>
          <w:szCs w:val="32"/>
        </w:rPr>
        <w:t>，技能人才根据要求进行申报。</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2.人才</w:t>
      </w:r>
      <w:r>
        <w:rPr>
          <w:rFonts w:hint="default" w:ascii="仿宋_GB2312" w:hAnsi="仿宋_GB2312" w:eastAsia="仿宋_GB2312" w:cs="仿宋_GB2312"/>
          <w:color w:val="auto"/>
          <w:sz w:val="32"/>
          <w:szCs w:val="32"/>
        </w:rPr>
        <w:t>遴选</w:t>
      </w:r>
      <w:r>
        <w:rPr>
          <w:rFonts w:hint="eastAsia" w:ascii="仿宋_GB2312" w:hAnsi="仿宋_GB2312" w:eastAsia="仿宋_GB2312" w:cs="仿宋_GB2312"/>
          <w:color w:val="auto"/>
          <w:sz w:val="32"/>
          <w:szCs w:val="32"/>
        </w:rPr>
        <w:t>。区人力资源局组织专家对入围</w:t>
      </w:r>
      <w:r>
        <w:rPr>
          <w:rFonts w:hint="default"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技能人才进行</w:t>
      </w:r>
      <w:r>
        <w:rPr>
          <w:rFonts w:hint="default" w:ascii="仿宋_GB2312" w:hAnsi="仿宋_GB2312" w:eastAsia="仿宋_GB2312" w:cs="仿宋_GB2312"/>
          <w:color w:val="auto"/>
          <w:sz w:val="32"/>
          <w:szCs w:val="32"/>
        </w:rPr>
        <w:t>遴选</w:t>
      </w:r>
      <w:r>
        <w:rPr>
          <w:rFonts w:hint="eastAsia" w:ascii="仿宋_GB2312" w:hAnsi="仿宋_GB2312" w:eastAsia="仿宋_GB2312" w:cs="仿宋_GB2312"/>
          <w:color w:val="auto"/>
          <w:sz w:val="32"/>
          <w:szCs w:val="32"/>
        </w:rPr>
        <w:t>，产生“龙岗珠宝工匠”</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“龙岗家具工匠”</w:t>
      </w:r>
      <w:r>
        <w:rPr>
          <w:rFonts w:ascii="仿宋_GB2312" w:hAnsi="仿宋_GB2312" w:eastAsia="仿宋_GB2312" w:cs="仿宋_GB2312"/>
          <w:color w:val="auto"/>
          <w:sz w:val="32"/>
          <w:szCs w:val="32"/>
        </w:rPr>
        <w:t>和“龙岗眼镜工匠”</w:t>
      </w:r>
      <w:r>
        <w:rPr>
          <w:rFonts w:hint="eastAsia" w:ascii="仿宋_GB2312" w:hAnsi="仿宋_GB2312" w:eastAsia="仿宋_GB2312" w:cs="仿宋_GB2312"/>
          <w:color w:val="auto"/>
          <w:sz w:val="32"/>
          <w:szCs w:val="32"/>
        </w:rPr>
        <w:t>人选。经公示无异议的人选，报区工业和信息化部门。</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3.人才</w:t>
      </w:r>
      <w:r>
        <w:rPr>
          <w:rFonts w:hint="default"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rPr>
        <w:t>。区工业和信息化部门根据区人力资源</w:t>
      </w:r>
      <w:r>
        <w:rPr>
          <w:rFonts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rPr>
        <w:t>遴选名单确认年度时尚产业高技能人才奖励对象。</w:t>
      </w:r>
    </w:p>
    <w:p>
      <w:pPr>
        <w:pStyle w:val="3"/>
        <w:spacing w:line="560" w:lineRule="exact"/>
        <w:ind w:firstLine="64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第十二条  </w:t>
      </w:r>
      <w:r>
        <w:rPr>
          <w:rFonts w:hint="eastAsia" w:ascii="仿宋_GB2312" w:hAnsi="仿宋_GB2312" w:eastAsia="仿宋_GB2312" w:cs="仿宋_GB2312"/>
          <w:b/>
          <w:bCs/>
          <w:sz w:val="32"/>
          <w:szCs w:val="32"/>
        </w:rPr>
        <w:t>支持时尚企业参加展会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w:t>
      </w:r>
      <w:r>
        <w:rPr>
          <w:rFonts w:hint="eastAsia" w:ascii="仿宋_GB2312" w:hAnsi="仿宋_GB2312" w:eastAsia="仿宋_GB2312" w:cs="仿宋_GB2312"/>
          <w:kern w:val="0"/>
          <w:sz w:val="32"/>
          <w:szCs w:val="32"/>
        </w:rPr>
        <w:t>参加</w:t>
      </w:r>
      <w:r>
        <w:rPr>
          <w:rFonts w:hint="eastAsia" w:ascii="仿宋_GB2312" w:hAnsi="仿宋_GB2312" w:eastAsia="仿宋_GB2312" w:cs="仿宋_GB2312"/>
          <w:bCs/>
          <w:kern w:val="0"/>
          <w:sz w:val="32"/>
          <w:szCs w:val="32"/>
        </w:rPr>
        <w:t>大型综合性展会、专业展会、境外展会的时尚企业。</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（二）扶持标准：对</w:t>
      </w:r>
      <w:r>
        <w:rPr>
          <w:rFonts w:hint="eastAsia" w:ascii="仿宋_GB2312" w:hAnsi="仿宋_GB2312" w:eastAsia="仿宋_GB2312" w:cs="仿宋_GB2312"/>
          <w:kern w:val="0"/>
          <w:sz w:val="32"/>
          <w:szCs w:val="32"/>
        </w:rPr>
        <w:t>规上（限上）时尚</w:t>
      </w:r>
      <w:r>
        <w:rPr>
          <w:rFonts w:hint="eastAsia" w:ascii="仿宋_GB2312" w:hAnsi="仿宋_GB2312" w:eastAsia="仿宋_GB2312" w:cs="仿宋_GB2312"/>
          <w:kern w:val="0"/>
          <w:sz w:val="32"/>
          <w:szCs w:val="32"/>
          <w:lang w:eastAsia="zh-CN"/>
        </w:rPr>
        <w:t>产业</w:t>
      </w:r>
      <w:r>
        <w:rPr>
          <w:rFonts w:hint="eastAsia"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lang w:eastAsia="zh-CN"/>
        </w:rPr>
        <w:t>的</w:t>
      </w:r>
      <w:r>
        <w:rPr>
          <w:rFonts w:ascii="仿宋_GB2312" w:hAnsi="仿宋_GB2312" w:eastAsia="仿宋_GB2312" w:cs="仿宋_GB2312"/>
          <w:kern w:val="0"/>
          <w:sz w:val="32"/>
          <w:szCs w:val="32"/>
        </w:rPr>
        <w:t>展位费</w:t>
      </w:r>
      <w:r>
        <w:rPr>
          <w:rFonts w:hint="eastAsia" w:ascii="仿宋_GB2312" w:hAnsi="仿宋_GB2312" w:eastAsia="仿宋_GB2312" w:cs="仿宋_GB2312"/>
          <w:kern w:val="0"/>
          <w:sz w:val="32"/>
          <w:szCs w:val="32"/>
        </w:rPr>
        <w:t>给予全额扶持，对已获得深圳市</w:t>
      </w:r>
      <w:r>
        <w:rPr>
          <w:rFonts w:ascii="仿宋_GB2312" w:hAnsi="仿宋_GB2312" w:eastAsia="仿宋_GB2312" w:cs="仿宋_GB2312"/>
          <w:kern w:val="0"/>
          <w:sz w:val="32"/>
          <w:szCs w:val="32"/>
        </w:rPr>
        <w:t>展位费</w:t>
      </w:r>
      <w:r>
        <w:rPr>
          <w:rFonts w:hint="eastAsia" w:ascii="仿宋_GB2312" w:hAnsi="仿宋_GB2312" w:eastAsia="仿宋_GB2312" w:cs="仿宋_GB2312"/>
          <w:kern w:val="0"/>
          <w:sz w:val="32"/>
          <w:szCs w:val="32"/>
        </w:rPr>
        <w:t>扶持的时尚</w:t>
      </w:r>
      <w:r>
        <w:rPr>
          <w:rFonts w:hint="eastAsia" w:ascii="仿宋_GB2312" w:hAnsi="仿宋_GB2312" w:eastAsia="仿宋_GB2312" w:cs="仿宋_GB2312"/>
          <w:kern w:val="0"/>
          <w:sz w:val="32"/>
          <w:szCs w:val="32"/>
          <w:lang w:eastAsia="zh-CN"/>
        </w:rPr>
        <w:t>产业</w:t>
      </w:r>
      <w:r>
        <w:rPr>
          <w:rFonts w:hint="eastAsia" w:ascii="仿宋_GB2312" w:hAnsi="仿宋_GB2312" w:eastAsia="仿宋_GB2312" w:cs="仿宋_GB2312"/>
          <w:kern w:val="0"/>
          <w:sz w:val="32"/>
          <w:szCs w:val="32"/>
        </w:rPr>
        <w:t>企业，按企业实际发生展位费与市级扶持的差额给予扶持。</w:t>
      </w:r>
      <w:r>
        <w:rPr>
          <w:rFonts w:hint="eastAsia" w:ascii="仿宋_GB2312" w:hAnsi="仿宋_GB2312" w:eastAsia="仿宋_GB2312" w:cs="仿宋_GB2312"/>
          <w:bCs/>
          <w:kern w:val="0"/>
          <w:sz w:val="32"/>
          <w:szCs w:val="32"/>
        </w:rPr>
        <w:t>对</w:t>
      </w:r>
      <w:r>
        <w:rPr>
          <w:rFonts w:hint="eastAsia" w:ascii="仿宋_GB2312" w:hAnsi="仿宋_GB2312" w:eastAsia="仿宋_GB2312" w:cs="仿宋_GB2312"/>
          <w:kern w:val="0"/>
          <w:sz w:val="32"/>
          <w:szCs w:val="32"/>
        </w:rPr>
        <w:t>规下（限下）时尚</w:t>
      </w:r>
      <w:r>
        <w:rPr>
          <w:rFonts w:hint="eastAsia" w:ascii="仿宋_GB2312" w:hAnsi="仿宋_GB2312" w:eastAsia="仿宋_GB2312" w:cs="仿宋_GB2312"/>
          <w:kern w:val="0"/>
          <w:sz w:val="32"/>
          <w:szCs w:val="32"/>
          <w:lang w:eastAsia="zh-CN"/>
        </w:rPr>
        <w:t>产业</w:t>
      </w:r>
      <w:r>
        <w:rPr>
          <w:rFonts w:hint="eastAsia" w:ascii="仿宋_GB2312" w:hAnsi="仿宋_GB2312" w:eastAsia="仿宋_GB2312" w:cs="仿宋_GB2312"/>
          <w:kern w:val="0"/>
          <w:sz w:val="32"/>
          <w:szCs w:val="32"/>
        </w:rPr>
        <w:t>企业的</w:t>
      </w:r>
      <w:r>
        <w:rPr>
          <w:rFonts w:ascii="仿宋_GB2312" w:hAnsi="仿宋_GB2312" w:eastAsia="仿宋_GB2312" w:cs="仿宋_GB2312"/>
          <w:kern w:val="0"/>
          <w:sz w:val="32"/>
          <w:szCs w:val="32"/>
        </w:rPr>
        <w:t>展位费</w:t>
      </w:r>
      <w:r>
        <w:rPr>
          <w:rFonts w:hint="eastAsia" w:ascii="仿宋_GB2312" w:hAnsi="仿宋_GB2312" w:eastAsia="仿宋_GB2312" w:cs="仿宋_GB2312"/>
          <w:kern w:val="0"/>
          <w:sz w:val="32"/>
          <w:szCs w:val="32"/>
        </w:rPr>
        <w:t>给予50%扶持。</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（三）审核方式：核准制。本条项下扶持资金在本实施细则有效期内连续3年都可申请。</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1.项目申报。区工业和信息化部门公开发布年度时尚企业参展申请指南和</w:t>
      </w:r>
      <w:r>
        <w:rPr>
          <w:rFonts w:hint="eastAsia" w:ascii="仿宋_GB2312" w:hAnsi="仿宋_GB2312" w:eastAsia="仿宋_GB2312" w:cs="仿宋_GB2312"/>
          <w:color w:val="auto"/>
          <w:kern w:val="2"/>
          <w:sz w:val="32"/>
          <w:szCs w:val="32"/>
        </w:rPr>
        <w:t>《龙岗区重点支持时尚展会目录》</w:t>
      </w:r>
      <w:r>
        <w:rPr>
          <w:rFonts w:hint="eastAsia" w:ascii="仿宋_GB2312" w:hAnsi="仿宋_GB2312" w:eastAsia="仿宋_GB2312" w:cs="仿宋_GB2312"/>
          <w:color w:val="auto"/>
          <w:sz w:val="32"/>
          <w:szCs w:val="32"/>
        </w:rPr>
        <w:t>，项目单位根据要求进行申报。</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2.专项审计。区工业和信息化部门委托会计师事务所对为实施该项目实际投入的费用开展专项审计。</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3.项目公示。通过专项审计，</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经公示无异议的项目，列为年度时尚企业参展项目。　</w:t>
      </w:r>
    </w:p>
    <w:p>
      <w:pPr>
        <w:pStyle w:val="7"/>
        <w:shd w:val="clear" w:color="auto" w:fill="FFFFFF"/>
        <w:adjustRightInd w:val="0"/>
        <w:snapToGrid w:val="0"/>
        <w:spacing w:before="0" w:beforeAutospacing="0" w:after="0" w:afterAutospacing="0" w:line="560" w:lineRule="exact"/>
        <w:ind w:firstLine="642" w:firstLineChars="200"/>
        <w:jc w:val="both"/>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第十</w:t>
      </w:r>
      <w:r>
        <w:rPr>
          <w:rFonts w:ascii="仿宋_GB2312" w:hAnsi="仿宋_GB2312" w:eastAsia="仿宋_GB2312" w:cs="仿宋_GB2312"/>
          <w:b/>
          <w:bCs/>
          <w:color w:val="auto"/>
          <w:kern w:val="2"/>
          <w:sz w:val="32"/>
          <w:szCs w:val="32"/>
        </w:rPr>
        <w:t>三</w:t>
      </w:r>
      <w:r>
        <w:rPr>
          <w:rFonts w:hint="eastAsia" w:ascii="仿宋_GB2312" w:hAnsi="仿宋_GB2312" w:eastAsia="仿宋_GB2312" w:cs="仿宋_GB2312"/>
          <w:b/>
          <w:bCs/>
          <w:color w:val="auto"/>
          <w:kern w:val="2"/>
          <w:sz w:val="32"/>
          <w:szCs w:val="32"/>
        </w:rPr>
        <w:t>条</w:t>
      </w:r>
      <w:r>
        <w:rPr>
          <w:rFonts w:ascii="仿宋_GB2312" w:hAnsi="仿宋_GB2312" w:eastAsia="仿宋_GB2312" w:cs="仿宋_GB2312"/>
          <w:b/>
          <w:bCs/>
          <w:color w:val="auto"/>
          <w:kern w:val="2"/>
          <w:sz w:val="32"/>
          <w:szCs w:val="32"/>
        </w:rPr>
        <w:t xml:space="preserve"> 支持培育</w:t>
      </w:r>
      <w:r>
        <w:rPr>
          <w:rFonts w:hint="eastAsia" w:ascii="仿宋_GB2312" w:hAnsi="仿宋_GB2312" w:eastAsia="仿宋_GB2312" w:cs="仿宋_GB2312"/>
          <w:b/>
          <w:bCs/>
          <w:color w:val="auto"/>
          <w:kern w:val="2"/>
          <w:sz w:val="32"/>
          <w:szCs w:val="32"/>
        </w:rPr>
        <w:t>时尚</w:t>
      </w:r>
      <w:r>
        <w:rPr>
          <w:rFonts w:hint="eastAsia" w:ascii="仿宋_GB2312" w:hAnsi="仿宋_GB2312" w:eastAsia="仿宋_GB2312" w:cs="仿宋_GB2312"/>
          <w:b/>
          <w:bCs/>
          <w:color w:val="auto"/>
          <w:kern w:val="2"/>
          <w:sz w:val="32"/>
          <w:szCs w:val="32"/>
          <w:lang w:eastAsia="zh-CN"/>
        </w:rPr>
        <w:t>产业</w:t>
      </w:r>
      <w:r>
        <w:rPr>
          <w:rFonts w:ascii="仿宋_GB2312" w:hAnsi="仿宋_GB2312" w:eastAsia="仿宋_GB2312" w:cs="仿宋_GB2312"/>
          <w:b/>
          <w:bCs/>
          <w:color w:val="auto"/>
          <w:kern w:val="2"/>
          <w:sz w:val="32"/>
          <w:szCs w:val="32"/>
        </w:rPr>
        <w:t>重大活动</w:t>
      </w:r>
    </w:p>
    <w:p>
      <w:pPr>
        <w:pStyle w:val="7"/>
        <w:spacing w:before="0" w:beforeAutospacing="0" w:after="0" w:afterAutospacing="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（一）扶持范围：</w:t>
      </w:r>
      <w:r>
        <w:rPr>
          <w:rFonts w:hint="eastAsia" w:ascii="仿宋_GB2312" w:hAnsi="仿宋_GB2312" w:eastAsia="仿宋_GB2312" w:cs="仿宋_GB2312"/>
          <w:bCs/>
          <w:color w:val="auto"/>
          <w:sz w:val="32"/>
          <w:szCs w:val="32"/>
        </w:rPr>
        <w:t>培育</w:t>
      </w:r>
      <w:r>
        <w:rPr>
          <w:rFonts w:hint="eastAsia" w:ascii="仿宋_GB2312" w:hAnsi="仿宋_GB2312" w:eastAsia="仿宋_GB2312" w:cs="仿宋_GB2312"/>
          <w:bCs/>
          <w:color w:val="auto"/>
          <w:sz w:val="32"/>
          <w:szCs w:val="32"/>
          <w:lang w:eastAsia="zh-CN"/>
        </w:rPr>
        <w:t>在</w:t>
      </w:r>
      <w:r>
        <w:rPr>
          <w:rFonts w:hint="eastAsia" w:ascii="仿宋_GB2312" w:hAnsi="仿宋_GB2312" w:eastAsia="仿宋_GB2312" w:cs="仿宋_GB2312"/>
          <w:bCs/>
          <w:color w:val="auto"/>
          <w:sz w:val="32"/>
          <w:szCs w:val="32"/>
        </w:rPr>
        <w:t>深圳市</w:t>
      </w:r>
      <w:r>
        <w:rPr>
          <w:rFonts w:hint="default" w:ascii="仿宋_GB2312" w:hAnsi="仿宋_GB2312" w:eastAsia="仿宋_GB2312" w:cs="仿宋_GB2312"/>
          <w:bCs/>
          <w:color w:val="auto"/>
          <w:sz w:val="32"/>
          <w:szCs w:val="32"/>
        </w:rPr>
        <w:t>新</w:t>
      </w:r>
      <w:r>
        <w:rPr>
          <w:rFonts w:hint="eastAsia" w:ascii="仿宋_GB2312" w:hAnsi="仿宋_GB2312" w:eastAsia="仿宋_GB2312" w:cs="仿宋_GB2312"/>
          <w:bCs/>
          <w:color w:val="auto"/>
          <w:sz w:val="32"/>
          <w:szCs w:val="32"/>
          <w:lang w:eastAsia="zh-CN"/>
        </w:rPr>
        <w:t>举办</w:t>
      </w:r>
      <w:r>
        <w:rPr>
          <w:rFonts w:hint="default"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，旨在扩大龙岗区乃至深圳市时尚产业知名度、促进国际时尚理念与技术交流合作、促进跨界融合、吸引国内外时尚资源向龙岗区汇集的大赛、展览会、交易会、时尚周等重大活动。</w:t>
      </w:r>
    </w:p>
    <w:p>
      <w:pPr>
        <w:pStyle w:val="7"/>
        <w:spacing w:before="0" w:beforeAutospacing="0" w:after="0" w:afterAutospacing="0" w:line="560" w:lineRule="exact"/>
        <w:ind w:firstLine="640" w:firstLineChars="200"/>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rPr>
        <w:t>1.大赛类活动需符合以下条件：大赛组别不低于4个，参赛作品不低于1500件，参赛国家和地区不低于5个，赛事评委不低于30名，吸引媒体数量不低于20家。</w:t>
      </w:r>
    </w:p>
    <w:p>
      <w:pPr>
        <w:pStyle w:val="7"/>
        <w:spacing w:before="0" w:beforeAutospacing="0" w:after="0" w:afterAutospacing="0" w:line="560" w:lineRule="exact"/>
        <w:ind w:firstLine="640" w:firstLineChars="200"/>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rPr>
        <w:t>展览会、交易会、时尚周</w:t>
      </w:r>
      <w:r>
        <w:rPr>
          <w:rFonts w:hint="default" w:ascii="仿宋_GB2312" w:hAnsi="仿宋_GB2312" w:eastAsia="仿宋_GB2312" w:cs="仿宋_GB2312"/>
          <w:bCs/>
          <w:color w:val="auto"/>
          <w:sz w:val="32"/>
          <w:szCs w:val="32"/>
        </w:rPr>
        <w:t>需符合以下条件：活动面积不低于7000平方米，参展商家不低于35家，活动持续时间不低于3天，吸引媒体数量不低于50家，公众参与人次不低于10000人次。</w:t>
      </w:r>
    </w:p>
    <w:p>
      <w:pPr>
        <w:pStyle w:val="7"/>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（二）扶持标准：</w:t>
      </w:r>
      <w:r>
        <w:rPr>
          <w:rFonts w:hint="default" w:ascii="仿宋_GB2312" w:hAnsi="仿宋_GB2312" w:eastAsia="仿宋_GB2312" w:cs="仿宋_GB2312"/>
          <w:color w:val="auto"/>
          <w:sz w:val="32"/>
          <w:szCs w:val="32"/>
        </w:rPr>
        <w:t>符合条件</w:t>
      </w:r>
      <w:r>
        <w:rPr>
          <w:rFonts w:hint="eastAsia" w:ascii="仿宋_GB2312" w:hAnsi="仿宋_GB2312" w:eastAsia="仿宋_GB2312" w:cs="仿宋_GB2312"/>
          <w:color w:val="auto"/>
          <w:sz w:val="32"/>
          <w:szCs w:val="32"/>
        </w:rPr>
        <w:t>的</w:t>
      </w:r>
      <w:r>
        <w:rPr>
          <w:rFonts w:hint="default" w:ascii="仿宋_GB2312" w:hAnsi="仿宋_GB2312" w:eastAsia="仿宋_GB2312" w:cs="仿宋_GB2312"/>
          <w:color w:val="auto"/>
          <w:sz w:val="32"/>
          <w:szCs w:val="32"/>
        </w:rPr>
        <w:t>同一</w:t>
      </w:r>
      <w:r>
        <w:rPr>
          <w:rFonts w:hint="eastAsia" w:ascii="仿宋_GB2312" w:hAnsi="仿宋_GB2312" w:eastAsia="仿宋_GB2312" w:cs="仿宋_GB2312"/>
          <w:color w:val="auto"/>
          <w:sz w:val="32"/>
          <w:szCs w:val="32"/>
        </w:rPr>
        <w:t>项目</w:t>
      </w:r>
      <w:r>
        <w:rPr>
          <w:rFonts w:ascii="仿宋_GB2312" w:hAnsi="仿宋_GB2312" w:eastAsia="仿宋_GB2312" w:cs="仿宋_GB2312"/>
          <w:color w:val="auto"/>
          <w:sz w:val="32"/>
          <w:szCs w:val="32"/>
        </w:rPr>
        <w:t>，给予连续3次的资助。其中，活动首次举办，按照活动实际发生费用的50%给予资助；活动第2次举办，按照活动实际发生费用的30%给予资助；活动第</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eastAsia="zh-CN"/>
        </w:rPr>
        <w:t>次举办，</w:t>
      </w:r>
      <w:r>
        <w:rPr>
          <w:rFonts w:ascii="仿宋_GB2312" w:hAnsi="仿宋_GB2312" w:eastAsia="仿宋_GB2312" w:cs="仿宋_GB2312"/>
          <w:color w:val="auto"/>
          <w:sz w:val="32"/>
          <w:szCs w:val="32"/>
        </w:rPr>
        <w:t>按照活动实际发生费用的20%给予资助。每个活动每次资助上限1000万元。</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（三）审核方式：</w:t>
      </w:r>
      <w:r>
        <w:rPr>
          <w:rFonts w:ascii="仿宋_GB2312" w:hAnsi="仿宋_GB2312" w:eastAsia="仿宋_GB2312" w:cs="仿宋_GB2312"/>
          <w:color w:val="auto"/>
          <w:sz w:val="32"/>
          <w:szCs w:val="32"/>
        </w:rPr>
        <w:t>评审制。本条项下扶持资金在本实施细则有效期内连续3年都可申请</w:t>
      </w:r>
      <w:r>
        <w:rPr>
          <w:rFonts w:hint="eastAsia" w:ascii="仿宋_GB2312" w:hAnsi="仿宋_GB2312" w:eastAsia="仿宋_GB2312" w:cs="仿宋_GB2312"/>
          <w:color w:val="auto"/>
          <w:sz w:val="32"/>
          <w:szCs w:val="32"/>
        </w:rPr>
        <w:t>。</w:t>
      </w:r>
    </w:p>
    <w:p>
      <w:pPr>
        <w:pStyle w:val="7"/>
        <w:widowControl w:val="0"/>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.项目申报。</w:t>
      </w:r>
      <w:r>
        <w:rPr>
          <w:rFonts w:ascii="仿宋_GB2312" w:hAnsi="仿宋_GB2312" w:eastAsia="仿宋_GB2312" w:cs="仿宋_GB2312"/>
          <w:color w:val="auto"/>
          <w:sz w:val="32"/>
          <w:szCs w:val="32"/>
        </w:rPr>
        <w:t>项目单位在活动举办后，</w:t>
      </w:r>
      <w:r>
        <w:rPr>
          <w:rFonts w:hint="eastAsia" w:ascii="仿宋_GB2312" w:hAnsi="仿宋_GB2312" w:eastAsia="仿宋_GB2312" w:cs="仿宋_GB2312"/>
          <w:color w:val="auto"/>
          <w:sz w:val="32"/>
          <w:szCs w:val="32"/>
        </w:rPr>
        <w:t>可</w:t>
      </w:r>
      <w:r>
        <w:rPr>
          <w:rFonts w:ascii="仿宋_GB2312" w:hAnsi="仿宋_GB2312" w:eastAsia="仿宋_GB2312" w:cs="仿宋_GB2312"/>
          <w:color w:val="auto"/>
          <w:sz w:val="32"/>
          <w:szCs w:val="32"/>
        </w:rPr>
        <w:t>到区工业和信息化部门申请事后补贴。</w:t>
      </w:r>
    </w:p>
    <w:p>
      <w:pPr>
        <w:pStyle w:val="7"/>
        <w:spacing w:before="0" w:beforeAutospacing="0" w:after="0" w:afterAutospacing="0" w:line="560" w:lineRule="exact"/>
        <w:ind w:firstLine="64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w:t>
      </w:r>
      <w:r>
        <w:rPr>
          <w:rFonts w:ascii="仿宋_GB2312" w:hAnsi="仿宋_GB2312" w:eastAsia="仿宋_GB2312" w:cs="仿宋_GB2312"/>
          <w:color w:val="auto"/>
          <w:sz w:val="32"/>
          <w:szCs w:val="32"/>
        </w:rPr>
        <w:t>.专家评审。区工业和信息化部门</w:t>
      </w:r>
      <w:r>
        <w:rPr>
          <w:rFonts w:hint="eastAsia" w:ascii="仿宋_GB2312" w:hAnsi="仿宋_GB2312" w:eastAsia="仿宋_GB2312" w:cs="仿宋_GB2312"/>
          <w:color w:val="auto"/>
          <w:sz w:val="32"/>
          <w:szCs w:val="32"/>
        </w:rPr>
        <w:t>组织专家</w:t>
      </w:r>
      <w:r>
        <w:rPr>
          <w:rFonts w:hint="eastAsia" w:ascii="仿宋_GB2312" w:hAnsi="仿宋_GB2312" w:eastAsia="仿宋_GB2312" w:cs="仿宋_GB2312"/>
          <w:color w:val="auto"/>
          <w:sz w:val="32"/>
          <w:szCs w:val="32"/>
          <w:shd w:val="clear" w:color="auto" w:fill="FFFFFF"/>
        </w:rPr>
        <w:t>对活动举办的必要性、可持续性、产业推动作用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社会影响力等方面</w:t>
      </w:r>
      <w:r>
        <w:rPr>
          <w:rFonts w:hint="eastAsia" w:ascii="仿宋_GB2312" w:hAnsi="仿宋_GB2312" w:eastAsia="仿宋_GB2312" w:cs="仿宋_GB2312"/>
          <w:color w:val="auto"/>
          <w:sz w:val="32"/>
          <w:szCs w:val="32"/>
          <w:shd w:val="clear" w:color="auto" w:fill="FFFFFF"/>
          <w:lang w:eastAsia="zh-CN"/>
        </w:rPr>
        <w:t>进行</w:t>
      </w:r>
      <w:r>
        <w:rPr>
          <w:rFonts w:hint="eastAsia" w:ascii="仿宋_GB2312" w:hAnsi="仿宋_GB2312" w:eastAsia="仿宋_GB2312" w:cs="仿宋_GB2312"/>
          <w:color w:val="auto"/>
          <w:sz w:val="32"/>
          <w:szCs w:val="32"/>
          <w:shd w:val="clear" w:color="auto" w:fill="FFFFFF"/>
        </w:rPr>
        <w:t>综合评价</w:t>
      </w:r>
      <w:r>
        <w:rPr>
          <w:rFonts w:hint="eastAsia" w:ascii="仿宋_GB2312" w:hAnsi="仿宋_GB2312" w:eastAsia="仿宋_GB2312" w:cs="仿宋_GB2312"/>
          <w:color w:val="auto"/>
          <w:sz w:val="32"/>
          <w:szCs w:val="32"/>
        </w:rPr>
        <w:t>。</w:t>
      </w:r>
    </w:p>
    <w:p>
      <w:pPr>
        <w:pStyle w:val="7"/>
        <w:spacing w:before="0" w:beforeAutospacing="0" w:after="0" w:afterAutospacing="0" w:line="560" w:lineRule="exact"/>
        <w:ind w:firstLine="64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.专项审计。</w:t>
      </w:r>
      <w:r>
        <w:rPr>
          <w:rFonts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rPr>
        <w:t>工业和信息化部门委托会计师事务所对为实施该</w:t>
      </w:r>
      <w:r>
        <w:rPr>
          <w:rFonts w:ascii="仿宋_GB2312" w:hAnsi="仿宋_GB2312" w:eastAsia="仿宋_GB2312" w:cs="仿宋_GB2312"/>
          <w:color w:val="auto"/>
          <w:sz w:val="32"/>
          <w:szCs w:val="32"/>
        </w:rPr>
        <w:t>活动整体</w:t>
      </w:r>
      <w:r>
        <w:rPr>
          <w:rFonts w:hint="eastAsia" w:ascii="仿宋_GB2312" w:hAnsi="仿宋_GB2312" w:eastAsia="仿宋_GB2312" w:cs="仿宋_GB2312"/>
          <w:color w:val="auto"/>
          <w:sz w:val="32"/>
          <w:szCs w:val="32"/>
        </w:rPr>
        <w:t>实际投入的费用开展专项审计</w:t>
      </w:r>
      <w:r>
        <w:rPr>
          <w:rFonts w:ascii="仿宋_GB2312" w:hAnsi="仿宋_GB2312" w:eastAsia="仿宋_GB2312" w:cs="仿宋_GB2312"/>
          <w:color w:val="auto"/>
          <w:sz w:val="32"/>
          <w:szCs w:val="32"/>
        </w:rPr>
        <w:t>。区级补贴总额不得高于活动扶持标准，</w:t>
      </w:r>
      <w:r>
        <w:rPr>
          <w:rFonts w:hint="eastAsia" w:ascii="仿宋_GB2312" w:hAnsi="仿宋_GB2312" w:eastAsia="仿宋_GB2312" w:cs="仿宋_GB2312"/>
          <w:color w:val="auto"/>
          <w:sz w:val="32"/>
          <w:szCs w:val="32"/>
        </w:rPr>
        <w:t>且</w:t>
      </w:r>
      <w:r>
        <w:rPr>
          <w:rFonts w:ascii="仿宋_GB2312" w:hAnsi="仿宋_GB2312" w:eastAsia="仿宋_GB2312" w:cs="仿宋_GB2312"/>
          <w:color w:val="auto"/>
          <w:sz w:val="32"/>
          <w:szCs w:val="32"/>
        </w:rPr>
        <w:t>不得高于每次1000万元资助上限。</w:t>
      </w:r>
    </w:p>
    <w:p>
      <w:pPr>
        <w:pStyle w:val="7"/>
        <w:spacing w:before="0" w:beforeAutospacing="0" w:after="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default"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项目公示。</w:t>
      </w:r>
      <w:r>
        <w:rPr>
          <w:rFonts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rPr>
        <w:t>专项审计，</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经公示无异议的项目，</w:t>
      </w:r>
      <w:r>
        <w:rPr>
          <w:rFonts w:ascii="仿宋_GB2312" w:hAnsi="仿宋_GB2312" w:eastAsia="仿宋_GB2312" w:cs="仿宋_GB2312"/>
          <w:color w:val="auto"/>
          <w:sz w:val="32"/>
          <w:szCs w:val="32"/>
        </w:rPr>
        <w:t>核发事后资金补贴</w:t>
      </w:r>
      <w:r>
        <w:rPr>
          <w:rFonts w:hint="eastAsia" w:ascii="仿宋_GB2312" w:hAnsi="仿宋_GB2312" w:eastAsia="仿宋_GB2312" w:cs="仿宋_GB2312"/>
          <w:color w:val="auto"/>
          <w:sz w:val="32"/>
          <w:szCs w:val="32"/>
        </w:rPr>
        <w:t>。</w:t>
      </w:r>
    </w:p>
    <w:p>
      <w:pPr>
        <w:pStyle w:val="7"/>
        <w:widowControl w:val="0"/>
        <w:shd w:val="clear" w:color="auto" w:fill="FFFFFF"/>
        <w:adjustRightInd w:val="0"/>
        <w:snapToGrid w:val="0"/>
        <w:spacing w:before="0" w:beforeAutospacing="0" w:after="0" w:afterAutospacing="0" w:line="560" w:lineRule="exact"/>
        <w:jc w:val="both"/>
        <w:rPr>
          <w:rFonts w:ascii="黑体" w:hAnsi="黑体" w:eastAsia="黑体" w:cs="黑体"/>
          <w:color w:val="auto"/>
          <w:sz w:val="32"/>
          <w:szCs w:val="32"/>
        </w:rPr>
      </w:pPr>
    </w:p>
    <w:p>
      <w:pPr>
        <w:pStyle w:val="7"/>
        <w:widowControl w:val="0"/>
        <w:shd w:val="clear" w:color="auto" w:fill="FFFFFF"/>
        <w:adjustRightInd w:val="0"/>
        <w:snapToGrid w:val="0"/>
        <w:spacing w:before="0" w:beforeAutospacing="0" w:after="0" w:afterAutospacing="0"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w:t>
      </w:r>
      <w:r>
        <w:rPr>
          <w:rFonts w:ascii="黑体" w:hAnsi="黑体" w:eastAsia="黑体" w:cs="黑体"/>
          <w:color w:val="auto"/>
          <w:sz w:val="32"/>
          <w:szCs w:val="32"/>
        </w:rPr>
        <w:t>四</w:t>
      </w:r>
      <w:r>
        <w:rPr>
          <w:rFonts w:hint="eastAsia" w:ascii="黑体" w:hAnsi="黑体" w:eastAsia="黑体" w:cs="黑体"/>
          <w:color w:val="auto"/>
          <w:sz w:val="32"/>
          <w:szCs w:val="32"/>
        </w:rPr>
        <w:t>章</w:t>
      </w:r>
      <w:r>
        <w:rPr>
          <w:rFonts w:ascii="黑体" w:hAnsi="黑体" w:eastAsia="黑体" w:cs="黑体"/>
          <w:color w:val="auto"/>
          <w:sz w:val="32"/>
          <w:szCs w:val="32"/>
        </w:rPr>
        <w:t xml:space="preserve">  </w:t>
      </w:r>
      <w:r>
        <w:rPr>
          <w:rFonts w:hint="eastAsia" w:ascii="黑体" w:hAnsi="黑体" w:eastAsia="黑体" w:cs="黑体"/>
          <w:color w:val="auto"/>
          <w:sz w:val="32"/>
          <w:szCs w:val="32"/>
        </w:rPr>
        <w:t>申报条件</w:t>
      </w:r>
    </w:p>
    <w:p>
      <w:pPr>
        <w:pStyle w:val="7"/>
        <w:widowControl w:val="0"/>
        <w:shd w:val="clear" w:color="auto" w:fill="FFFFFF"/>
        <w:adjustRightInd w:val="0"/>
        <w:snapToGrid w:val="0"/>
        <w:spacing w:before="0" w:beforeAutospacing="0" w:after="0" w:afterAutospacing="0" w:line="560" w:lineRule="exact"/>
        <w:ind w:firstLine="641"/>
        <w:rPr>
          <w:rFonts w:ascii="仿宋_GB2312" w:hAnsi="仿宋" w:eastAsia="仿宋_GB2312" w:cs="Arial"/>
          <w:b/>
          <w:bCs/>
          <w:color w:val="auto"/>
          <w:sz w:val="32"/>
          <w:szCs w:val="32"/>
        </w:rPr>
      </w:pPr>
    </w:p>
    <w:p>
      <w:pPr>
        <w:pStyle w:val="7"/>
        <w:widowControl w:val="0"/>
        <w:shd w:val="clear" w:color="auto" w:fill="FFFFFF"/>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仿宋" w:eastAsia="仿宋_GB2312" w:cs="Arial"/>
          <w:b/>
          <w:bCs/>
          <w:color w:val="auto"/>
          <w:sz w:val="32"/>
          <w:szCs w:val="32"/>
        </w:rPr>
        <w:t>第</w:t>
      </w:r>
      <w:r>
        <w:rPr>
          <w:rFonts w:hint="eastAsia" w:ascii="仿宋_GB2312" w:hAnsi="Arial" w:eastAsia="仿宋_GB2312" w:cs="Arial"/>
          <w:b/>
          <w:bCs/>
          <w:color w:val="auto"/>
          <w:sz w:val="32"/>
          <w:szCs w:val="32"/>
        </w:rPr>
        <w:t>十</w:t>
      </w:r>
      <w:r>
        <w:rPr>
          <w:rFonts w:ascii="仿宋_GB2312" w:hAnsi="Arial" w:eastAsia="仿宋_GB2312" w:cs="Arial"/>
          <w:b/>
          <w:bCs/>
          <w:color w:val="auto"/>
          <w:sz w:val="32"/>
          <w:szCs w:val="32"/>
        </w:rPr>
        <w:t>四</w:t>
      </w:r>
      <w:r>
        <w:rPr>
          <w:rFonts w:hint="eastAsia" w:ascii="仿宋_GB2312" w:hAnsi="仿宋" w:eastAsia="仿宋_GB2312" w:cs="Arial"/>
          <w:b/>
          <w:bCs/>
          <w:color w:val="auto"/>
          <w:sz w:val="32"/>
          <w:szCs w:val="32"/>
        </w:rPr>
        <w:t>条</w:t>
      </w:r>
      <w:r>
        <w:rPr>
          <w:rFonts w:hint="eastAsia" w:ascii="仿宋_GB2312" w:hAnsi="Arial" w:eastAsia="仿宋_GB2312" w:cs="Arial"/>
          <w:color w:val="auto"/>
          <w:sz w:val="32"/>
          <w:szCs w:val="32"/>
        </w:rPr>
        <w:t xml:space="preserve"> 申报条件由基础申报条件和专项申报条件两部分组成。项目单位需符合下列基础条件：</w:t>
      </w:r>
    </w:p>
    <w:p>
      <w:pPr>
        <w:pStyle w:val="7"/>
        <w:widowControl w:val="0"/>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（一）项目单位是在</w:t>
      </w:r>
      <w:r>
        <w:rPr>
          <w:rFonts w:hint="eastAsia" w:ascii="仿宋_GB2312" w:hAnsi="仿宋_GB2312" w:eastAsia="仿宋_GB2312" w:cs="华文仿宋"/>
          <w:color w:val="auto"/>
          <w:sz w:val="32"/>
          <w:szCs w:val="32"/>
        </w:rPr>
        <w:t>龙岗区</w:t>
      </w:r>
      <w:r>
        <w:rPr>
          <w:rFonts w:ascii="仿宋_GB2312" w:hAnsi="仿宋_GB2312" w:eastAsia="仿宋_GB2312" w:cs="华文仿宋"/>
          <w:color w:val="auto"/>
          <w:sz w:val="32"/>
          <w:szCs w:val="32"/>
        </w:rPr>
        <w:t>实际经营，且</w:t>
      </w:r>
      <w:r>
        <w:rPr>
          <w:rFonts w:hint="eastAsia" w:ascii="仿宋_GB2312" w:hAnsi="仿宋_GB2312" w:eastAsia="仿宋_GB2312" w:cs="华文仿宋"/>
          <w:color w:val="auto"/>
          <w:sz w:val="32"/>
          <w:szCs w:val="32"/>
        </w:rPr>
        <w:t>具有独立法人资格且符合要求的</w:t>
      </w:r>
      <w:r>
        <w:rPr>
          <w:rFonts w:hint="eastAsia" w:ascii="仿宋_GB2312" w:hAnsi="仿宋_GB2312" w:eastAsia="仿宋_GB2312"/>
          <w:color w:val="auto"/>
          <w:sz w:val="32"/>
          <w:szCs w:val="32"/>
        </w:rPr>
        <w:t>法人企业或民办非企业单位、社会团体</w:t>
      </w:r>
      <w:r>
        <w:rPr>
          <w:rFonts w:hint="eastAsia" w:ascii="仿宋_GB2312" w:hAnsi="Arial" w:eastAsia="仿宋_GB2312" w:cs="Arial"/>
          <w:color w:val="auto"/>
          <w:sz w:val="32"/>
          <w:szCs w:val="32"/>
        </w:rPr>
        <w:t>；</w:t>
      </w:r>
    </w:p>
    <w:p>
      <w:pPr>
        <w:pStyle w:val="7"/>
        <w:widowControl w:val="0"/>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（二）</w:t>
      </w:r>
      <w:r>
        <w:rPr>
          <w:rFonts w:hint="eastAsia" w:ascii="仿宋_GB2312" w:hAnsi="仿宋_GB2312" w:eastAsia="仿宋_GB2312" w:cs="华文仿宋"/>
          <w:color w:val="auto"/>
          <w:sz w:val="32"/>
          <w:szCs w:val="32"/>
        </w:rPr>
        <w:t>项目单位未被</w:t>
      </w:r>
      <w:r>
        <w:rPr>
          <w:rFonts w:ascii="仿宋_GB2312" w:hAnsi="仿宋_GB2312" w:eastAsia="仿宋_GB2312" w:cs="华文仿宋"/>
          <w:color w:val="auto"/>
          <w:sz w:val="32"/>
          <w:szCs w:val="32"/>
        </w:rPr>
        <w:t>依法依规</w:t>
      </w:r>
      <w:r>
        <w:rPr>
          <w:rFonts w:hint="eastAsia" w:ascii="仿宋_GB2312" w:hAnsi="仿宋_GB2312" w:eastAsia="仿宋_GB2312" w:cs="华文仿宋"/>
          <w:color w:val="auto"/>
          <w:sz w:val="32"/>
          <w:szCs w:val="32"/>
        </w:rPr>
        <w:t>列入严重失信主体名单且在有效期内；</w:t>
      </w:r>
    </w:p>
    <w:p>
      <w:pPr>
        <w:pStyle w:val="7"/>
        <w:widowControl w:val="0"/>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（三）项目单位对申报材料的真实性、合法性和完整性负责，不得弄虚作假、套取、骗取专项资金；</w:t>
      </w:r>
    </w:p>
    <w:p>
      <w:pPr>
        <w:pStyle w:val="7"/>
        <w:widowControl w:val="0"/>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（四）项目单位提交的有关生产经营数据</w:t>
      </w:r>
      <w:r>
        <w:rPr>
          <w:rFonts w:ascii="仿宋_GB2312" w:hAnsi="Arial" w:eastAsia="仿宋_GB2312" w:cs="Arial"/>
          <w:color w:val="auto"/>
          <w:sz w:val="32"/>
          <w:szCs w:val="32"/>
        </w:rPr>
        <w:t>应真实有效</w:t>
      </w:r>
      <w:r>
        <w:rPr>
          <w:rFonts w:hint="eastAsia" w:ascii="仿宋_GB2312" w:hAnsi="Arial" w:eastAsia="仿宋_GB2312" w:cs="Arial"/>
          <w:color w:val="auto"/>
          <w:sz w:val="32"/>
          <w:szCs w:val="32"/>
        </w:rPr>
        <w:t>，</w:t>
      </w:r>
      <w:r>
        <w:rPr>
          <w:rFonts w:ascii="仿宋_GB2312" w:hAnsi="Arial" w:eastAsia="仿宋_GB2312" w:cs="Arial"/>
          <w:color w:val="auto"/>
          <w:sz w:val="32"/>
          <w:szCs w:val="32"/>
        </w:rPr>
        <w:t>区工业和信息化局将会同有关部门开展审计对数据进行审核</w:t>
      </w:r>
      <w:r>
        <w:rPr>
          <w:rFonts w:hint="eastAsia" w:ascii="仿宋_GB2312" w:hAnsi="Arial" w:eastAsia="仿宋_GB2312" w:cs="Arial"/>
          <w:color w:val="auto"/>
          <w:sz w:val="32"/>
          <w:szCs w:val="32"/>
        </w:rPr>
        <w:t>；</w:t>
      </w:r>
    </w:p>
    <w:p>
      <w:pPr>
        <w:pStyle w:val="7"/>
        <w:widowControl w:val="0"/>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（五）项目单位不得以同一事项重复申报或者多头申报区级专项资金；</w:t>
      </w:r>
    </w:p>
    <w:p>
      <w:pPr>
        <w:pStyle w:val="7"/>
        <w:widowControl w:val="0"/>
        <w:adjustRightInd w:val="0"/>
        <w:snapToGrid w:val="0"/>
        <w:spacing w:before="0" w:beforeAutospacing="0" w:after="0" w:afterAutospacing="0" w:line="560" w:lineRule="exact"/>
        <w:ind w:firstLine="640"/>
        <w:rPr>
          <w:rFonts w:ascii="仿宋_GB2312" w:hAnsi="Arial" w:eastAsia="仿宋_GB2312" w:cs="Arial"/>
          <w:color w:val="auto"/>
          <w:sz w:val="32"/>
          <w:szCs w:val="32"/>
        </w:rPr>
      </w:pPr>
      <w:r>
        <w:rPr>
          <w:rFonts w:hint="eastAsia" w:ascii="仿宋_GB2312" w:hAnsi="Arial" w:eastAsia="仿宋_GB2312" w:cs="Arial"/>
          <w:color w:val="auto"/>
          <w:sz w:val="32"/>
          <w:szCs w:val="32"/>
        </w:rPr>
        <w:t>（六）法律、法规、规章和上级行政机关规范性文件规定的其他条件。</w:t>
      </w:r>
    </w:p>
    <w:p>
      <w:pPr>
        <w:pStyle w:val="7"/>
        <w:widowControl w:val="0"/>
        <w:numPr>
          <w:ilvl w:val="255"/>
          <w:numId w:val="0"/>
        </w:numPr>
        <w:shd w:val="clear" w:color="auto" w:fill="FFFFFF"/>
        <w:adjustRightInd w:val="0"/>
        <w:snapToGrid w:val="0"/>
        <w:spacing w:before="0" w:beforeAutospacing="0" w:after="0" w:afterAutospacing="0" w:line="560" w:lineRule="exact"/>
        <w:jc w:val="center"/>
        <w:rPr>
          <w:rFonts w:ascii="黑体" w:hAnsi="黑体" w:eastAsia="黑体" w:cs="黑体"/>
          <w:color w:val="auto"/>
          <w:sz w:val="32"/>
          <w:szCs w:val="32"/>
        </w:rPr>
      </w:pPr>
    </w:p>
    <w:p>
      <w:pPr>
        <w:pStyle w:val="7"/>
        <w:widowControl w:val="0"/>
        <w:numPr>
          <w:ilvl w:val="255"/>
          <w:numId w:val="0"/>
        </w:numPr>
        <w:shd w:val="clear" w:color="auto" w:fill="FFFFFF"/>
        <w:adjustRightInd w:val="0"/>
        <w:snapToGrid w:val="0"/>
        <w:spacing w:before="0" w:beforeAutospacing="0" w:after="0" w:afterAutospacing="0" w:line="560" w:lineRule="exact"/>
        <w:jc w:val="center"/>
        <w:rPr>
          <w:rFonts w:ascii="黑体" w:hAnsi="黑体" w:eastAsia="黑体" w:cs="黑体"/>
          <w:color w:val="auto"/>
          <w:sz w:val="32"/>
          <w:szCs w:val="32"/>
        </w:rPr>
      </w:pPr>
      <w:r>
        <w:rPr>
          <w:rFonts w:ascii="黑体" w:hAnsi="黑体" w:eastAsia="黑体" w:cs="黑体"/>
          <w:color w:val="auto"/>
          <w:sz w:val="32"/>
          <w:szCs w:val="32"/>
        </w:rPr>
        <w:t xml:space="preserve">第五章 </w:t>
      </w:r>
      <w:r>
        <w:rPr>
          <w:rFonts w:hint="eastAsia" w:ascii="黑体" w:hAnsi="黑体" w:eastAsia="黑体" w:cs="黑体"/>
          <w:color w:val="auto"/>
          <w:sz w:val="32"/>
          <w:szCs w:val="32"/>
        </w:rPr>
        <w:t>项目申报和审核</w:t>
      </w:r>
    </w:p>
    <w:p>
      <w:pPr>
        <w:pStyle w:val="7"/>
        <w:widowControl w:val="0"/>
        <w:numPr>
          <w:ilvl w:val="255"/>
          <w:numId w:val="0"/>
        </w:numPr>
        <w:shd w:val="clear" w:color="auto" w:fill="FFFFFF"/>
        <w:adjustRightInd w:val="0"/>
        <w:snapToGrid w:val="0"/>
        <w:spacing w:before="0" w:beforeAutospacing="0" w:after="0" w:afterAutospacing="0" w:line="560" w:lineRule="exact"/>
        <w:jc w:val="both"/>
        <w:rPr>
          <w:rFonts w:ascii="黑体" w:hAnsi="黑体" w:eastAsia="黑体" w:cs="黑体"/>
          <w:color w:val="auto"/>
          <w:sz w:val="32"/>
          <w:szCs w:val="32"/>
        </w:rPr>
      </w:pPr>
    </w:p>
    <w:p>
      <w:pPr>
        <w:pStyle w:val="3"/>
        <w:adjustRightInd w:val="0"/>
        <w:snapToGrid w:val="0"/>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ascii="仿宋_GB2312" w:hAnsi="仿宋_GB2312" w:eastAsia="仿宋_GB2312" w:cs="仿宋_GB2312"/>
          <w:b/>
          <w:bCs/>
          <w:sz w:val="32"/>
          <w:szCs w:val="32"/>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区工业和信息化局根据本实施细则制定年度扶持计划项目申请指南（通知），在龙岗政府在线、区工业和信息化局网站发布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明确受理时间、申报材料要求等内容。</w:t>
      </w:r>
    </w:p>
    <w:p>
      <w:pPr>
        <w:pStyle w:val="3"/>
        <w:adjustRightInd w:val="0"/>
        <w:snapToGrid w:val="0"/>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ascii="仿宋_GB2312" w:hAnsi="仿宋_GB2312" w:eastAsia="仿宋_GB2312" w:cs="仿宋_GB2312"/>
          <w:b/>
          <w:bCs/>
          <w:sz w:val="32"/>
          <w:szCs w:val="32"/>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项目单位根据申请指南要求，在规定时间内如实填报项目信息，提交相关材料。</w:t>
      </w:r>
    </w:p>
    <w:p>
      <w:pPr>
        <w:pStyle w:val="3"/>
        <w:adjustRightInd w:val="0"/>
        <w:snapToGrid w:val="0"/>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ascii="仿宋_GB2312" w:hAnsi="仿宋_GB2312" w:eastAsia="仿宋_GB2312" w:cs="仿宋_GB2312"/>
          <w:b/>
          <w:bCs/>
          <w:sz w:val="32"/>
          <w:szCs w:val="32"/>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区工业和信息化局组织开展对申报项目进行审核，并征求各有关单位意见，对项目重复性以及申报单位是否被依法依规列入严重失信主体名单且在有效期内等情况进行核查。</w:t>
      </w:r>
    </w:p>
    <w:p>
      <w:pPr>
        <w:pStyle w:val="3"/>
        <w:adjustRightInd w:val="0"/>
        <w:snapToGrid w:val="0"/>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ascii="仿宋_GB2312" w:hAnsi="仿宋_GB2312" w:eastAsia="仿宋_GB2312" w:cs="仿宋_GB2312"/>
          <w:b/>
          <w:bCs/>
          <w:sz w:val="32"/>
          <w:szCs w:val="32"/>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区工业和信息化局对项目进行材料审核，可委托第三方专业服务机构组织开展专家评审和专项审计等相关工作,第三方专业服务机构向区工业和信息化局提交专家评审、专项审计报告。</w:t>
      </w:r>
    </w:p>
    <w:p>
      <w:pPr>
        <w:pStyle w:val="3"/>
        <w:adjustRightInd w:val="0"/>
        <w:snapToGrid w:val="0"/>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区工业和信息化局根据年度资金安排，结合项目专家评审、专项审计结果等情况，编制资金扶持计划，确定拟扶持项目名单和扶持金额。</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二十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审核通过的拟扶持项目按规定在龙岗政府在线和区工业和信息化局网站进行公示，公示时间为5个工作日。对公示内容有异议的，可在公示期内向区工业和信息化局书面提出。对于公示有异议的，由区工业和信息化局进行调查或组织重审，不予扶持的向申报单位反馈理由。</w:t>
      </w:r>
    </w:p>
    <w:p>
      <w:pPr>
        <w:pStyle w:val="3"/>
        <w:adjustRightInd w:val="0"/>
        <w:snapToGrid w:val="0"/>
        <w:spacing w:line="560" w:lineRule="exact"/>
        <w:rPr>
          <w:rFonts w:ascii="黑体" w:hAnsi="黑体" w:eastAsia="黑体" w:cs="黑体"/>
          <w:sz w:val="32"/>
          <w:szCs w:val="32"/>
        </w:rPr>
      </w:pPr>
    </w:p>
    <w:p>
      <w:pPr>
        <w:pStyle w:val="3"/>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w:t>
      </w:r>
      <w:r>
        <w:rPr>
          <w:rFonts w:ascii="黑体" w:hAnsi="黑体" w:eastAsia="黑体" w:cs="黑体"/>
          <w:sz w:val="32"/>
          <w:szCs w:val="32"/>
        </w:rPr>
        <w:t>六</w:t>
      </w:r>
      <w:r>
        <w:rPr>
          <w:rFonts w:hint="eastAsia" w:ascii="黑体" w:hAnsi="黑体" w:eastAsia="黑体" w:cs="黑体"/>
          <w:sz w:val="32"/>
          <w:szCs w:val="32"/>
        </w:rPr>
        <w:t>章</w:t>
      </w:r>
      <w:r>
        <w:rPr>
          <w:rFonts w:ascii="黑体" w:hAnsi="黑体" w:eastAsia="黑体" w:cs="黑体"/>
          <w:sz w:val="32"/>
          <w:szCs w:val="32"/>
        </w:rPr>
        <w:t xml:space="preserve"> </w:t>
      </w:r>
      <w:r>
        <w:rPr>
          <w:rFonts w:hint="eastAsia" w:ascii="黑体" w:hAnsi="黑体" w:eastAsia="黑体" w:cs="黑体"/>
          <w:sz w:val="32"/>
          <w:szCs w:val="32"/>
        </w:rPr>
        <w:t>附则</w:t>
      </w:r>
    </w:p>
    <w:p>
      <w:pPr>
        <w:pStyle w:val="3"/>
        <w:adjustRightInd w:val="0"/>
        <w:snapToGrid w:val="0"/>
        <w:spacing w:line="560" w:lineRule="exact"/>
        <w:jc w:val="center"/>
        <w:rPr>
          <w:rFonts w:ascii="黑体" w:hAnsi="黑体" w:eastAsia="黑体" w:cs="黑体"/>
          <w:sz w:val="32"/>
          <w:szCs w:val="32"/>
        </w:rPr>
      </w:pPr>
    </w:p>
    <w:p>
      <w:pPr>
        <w:pStyle w:val="3"/>
        <w:adjustRightInd w:val="0"/>
        <w:snapToGrid w:val="0"/>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ascii="仿宋_GB2312" w:hAnsi="仿宋_GB2312" w:eastAsia="仿宋_GB2312" w:cs="仿宋_GB2312"/>
          <w:b/>
          <w:bCs/>
          <w:sz w:val="32"/>
          <w:szCs w:val="32"/>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本实施细则由区工业和信息化局</w:t>
      </w:r>
      <w:r>
        <w:rPr>
          <w:rFonts w:ascii="仿宋_GB2312" w:hAnsi="仿宋_GB2312" w:eastAsia="仿宋_GB2312" w:cs="仿宋_GB2312"/>
          <w:sz w:val="32"/>
          <w:szCs w:val="32"/>
        </w:rPr>
        <w:t>（区商务局）</w:t>
      </w:r>
      <w:r>
        <w:rPr>
          <w:rFonts w:hint="eastAsia" w:ascii="仿宋_GB2312" w:hAnsi="仿宋_GB2312" w:eastAsia="仿宋_GB2312" w:cs="仿宋_GB2312"/>
          <w:sz w:val="32"/>
          <w:szCs w:val="32"/>
        </w:rPr>
        <w:t>负责解释。</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ascii="仿宋_GB2312" w:hAnsi="仿宋_GB2312" w:eastAsia="仿宋_GB2312" w:cs="仿宋_GB2312"/>
          <w:b/>
          <w:bCs/>
          <w:sz w:val="32"/>
          <w:szCs w:val="32"/>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本实施细则的资助额，一律向下取整到元。</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ascii="仿宋_GB2312" w:hAnsi="仿宋_GB2312" w:eastAsia="仿宋_GB2312" w:cs="仿宋_GB2312"/>
          <w:b/>
          <w:bCs/>
          <w:sz w:val="32"/>
          <w:szCs w:val="32"/>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本细则中的日期、比例及金额等，除特别注明外均包括本数。本细则中的年度均指自然年度。</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ascii="仿宋_GB2312" w:hAnsi="仿宋_GB2312" w:eastAsia="仿宋_GB2312" w:cs="仿宋_GB2312"/>
          <w:b/>
          <w:bCs/>
          <w:sz w:val="32"/>
          <w:szCs w:val="32"/>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kern w:val="0"/>
          <w:sz w:val="32"/>
          <w:szCs w:val="32"/>
        </w:rPr>
        <w:t>本办法自202</w:t>
      </w:r>
      <w:r>
        <w:rPr>
          <w:rFonts w:hint="default"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w:t>
      </w:r>
      <w:r>
        <w:rPr>
          <w:rFonts w:hint="default" w:ascii="仿宋_GB2312" w:hAnsi="仿宋_GB2312" w:eastAsia="仿宋_GB2312" w:cs="仿宋_GB2312"/>
          <w:kern w:val="0"/>
          <w:sz w:val="32"/>
          <w:szCs w:val="32"/>
        </w:rPr>
        <w:t>4月22</w:t>
      </w:r>
      <w:r>
        <w:rPr>
          <w:rFonts w:hint="eastAsia" w:ascii="仿宋_GB2312" w:hAnsi="仿宋_GB2312" w:eastAsia="仿宋_GB2312" w:cs="仿宋_GB2312"/>
          <w:kern w:val="0"/>
          <w:sz w:val="32"/>
          <w:szCs w:val="32"/>
        </w:rPr>
        <w:t>日起施行，有效期</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sz w:val="32"/>
          <w:szCs w:val="32"/>
        </w:rPr>
        <w:t>在有效期内，区工业和信息化局（商务局）可根据实际情况，对本细则进行整体性的修订、调整、发布和实施。任何企业和个人若存在弄虚作假、非法骗取、恶意串通、侵占专项资金、恶意重复申报、阻挠或故意规避对项目实施监督管理、提供虚假资料等不良情形，区工业和信息化局有权终止审核流程或取消资格，如已发放扶持资金，区工业化信息局可要求企业或个人退还全额退还扶持资金，并依法依规将不良行为信息归集至公共信用信息平台，并按照有关法律法规及规章的规定追究其相应责任；涉嫌犯罪的，依法移送司法机关处理。</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73348298"/>
                          </w:sdtPr>
                          <w:sdtEndPr>
                            <w:rPr>
                              <w:rFonts w:hint="eastAsia" w:asciiTheme="minorEastAsia" w:hAnsiTheme="minorEastAsia" w:eastAsiaTheme="minorEastAsia" w:cstheme="minorEastAsia"/>
                              <w:sz w:val="28"/>
                              <w:szCs w:val="28"/>
                            </w:rPr>
                          </w:sdtEnd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lang w:val="zh-CN"/>
                                </w:rPr>
                                <w:fldChar w:fldCharType="end"/>
                              </w:r>
                            </w:p>
                          </w:sdtContent>
                        </w:sdt>
                        <w:p>
                          <w:pPr>
                            <w:pStyle w:val="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DE7+cMkBAACeAwAADgAAAAAA&#10;AAABACAAAAA0AQAAZHJzL2Uyb0RvYy54bWxQSwUGAAAAAAYABgBZAQAAbwUAAAAA&#10;">
              <v:fill on="f" focussize="0,0"/>
              <v:stroke on="f"/>
              <v:imagedata o:title=""/>
              <o:lock v:ext="edit" aspectratio="f"/>
              <v:textbox inset="0mm,0mm,0mm,0mm" style="mso-fit-shape-to-text:t;">
                <w:txbxContent>
                  <w:sdt>
                    <w:sdtPr>
                      <w:id w:val="73348298"/>
                    </w:sdtPr>
                    <w:sdtEndPr>
                      <w:rPr>
                        <w:rFonts w:hint="eastAsia" w:asciiTheme="minorEastAsia" w:hAnsiTheme="minorEastAsia" w:eastAsiaTheme="minorEastAsia" w:cstheme="minorEastAsia"/>
                        <w:sz w:val="28"/>
                        <w:szCs w:val="28"/>
                      </w:rPr>
                    </w:sdtEnd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lang w:val="zh-CN"/>
                          </w:rPr>
                          <w:fldChar w:fldCharType="end"/>
                        </w:r>
                      </w:p>
                    </w:sdtContent>
                  </w:sdt>
                  <w:p>
                    <w:pPr>
                      <w:pStyle w:val="3"/>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FE3B5"/>
    <w:multiLevelType w:val="singleLevel"/>
    <w:tmpl w:val="600FE3B5"/>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MTdkOTY3OTAxYTRmNDJhZTUyZmE4MjdkNDU4YjMifQ=="/>
  </w:docVars>
  <w:rsids>
    <w:rsidRoot w:val="00172A27"/>
    <w:rsid w:val="00121B9D"/>
    <w:rsid w:val="00172A27"/>
    <w:rsid w:val="001B421E"/>
    <w:rsid w:val="0029138D"/>
    <w:rsid w:val="00347824"/>
    <w:rsid w:val="005C0E1C"/>
    <w:rsid w:val="00604224"/>
    <w:rsid w:val="008E3D7F"/>
    <w:rsid w:val="00983D6C"/>
    <w:rsid w:val="009964E7"/>
    <w:rsid w:val="009F11B2"/>
    <w:rsid w:val="00A03314"/>
    <w:rsid w:val="00A42140"/>
    <w:rsid w:val="00A44B05"/>
    <w:rsid w:val="00BE497D"/>
    <w:rsid w:val="00BE5CAD"/>
    <w:rsid w:val="00DA3C1F"/>
    <w:rsid w:val="00E65D77"/>
    <w:rsid w:val="00FB6323"/>
    <w:rsid w:val="067542B4"/>
    <w:rsid w:val="07F60974"/>
    <w:rsid w:val="0EE9B031"/>
    <w:rsid w:val="0EFF307D"/>
    <w:rsid w:val="0F7C5796"/>
    <w:rsid w:val="12FFD9BD"/>
    <w:rsid w:val="12FFDAB1"/>
    <w:rsid w:val="15F3FB17"/>
    <w:rsid w:val="16242AD5"/>
    <w:rsid w:val="1637BA27"/>
    <w:rsid w:val="1698EACE"/>
    <w:rsid w:val="17C6B58E"/>
    <w:rsid w:val="17DB8EDF"/>
    <w:rsid w:val="184A72DE"/>
    <w:rsid w:val="191F496C"/>
    <w:rsid w:val="1A5A7CE7"/>
    <w:rsid w:val="1AB708FC"/>
    <w:rsid w:val="1AF39F54"/>
    <w:rsid w:val="1BFF415E"/>
    <w:rsid w:val="1D8EC93D"/>
    <w:rsid w:val="1E5787C4"/>
    <w:rsid w:val="1E9822D2"/>
    <w:rsid w:val="1EFD4BE6"/>
    <w:rsid w:val="1F3793E2"/>
    <w:rsid w:val="1F5FD402"/>
    <w:rsid w:val="23AF3317"/>
    <w:rsid w:val="25387269"/>
    <w:rsid w:val="25F6C48D"/>
    <w:rsid w:val="27FFC55F"/>
    <w:rsid w:val="29883BEF"/>
    <w:rsid w:val="29F6664D"/>
    <w:rsid w:val="2EA3C544"/>
    <w:rsid w:val="2EDC09EC"/>
    <w:rsid w:val="2EFDEAE3"/>
    <w:rsid w:val="2F7EBF5D"/>
    <w:rsid w:val="2FF77618"/>
    <w:rsid w:val="305849F6"/>
    <w:rsid w:val="32093CFA"/>
    <w:rsid w:val="331D3DBF"/>
    <w:rsid w:val="337B02B2"/>
    <w:rsid w:val="33C9E81E"/>
    <w:rsid w:val="33EBD8AD"/>
    <w:rsid w:val="34FD9641"/>
    <w:rsid w:val="350F2095"/>
    <w:rsid w:val="351D0C08"/>
    <w:rsid w:val="35CFA185"/>
    <w:rsid w:val="35DD096C"/>
    <w:rsid w:val="362F4F97"/>
    <w:rsid w:val="37FFDD68"/>
    <w:rsid w:val="39978106"/>
    <w:rsid w:val="39DF1946"/>
    <w:rsid w:val="3AB51838"/>
    <w:rsid w:val="3AC54F39"/>
    <w:rsid w:val="3B761ADC"/>
    <w:rsid w:val="3BF72044"/>
    <w:rsid w:val="3BF725F7"/>
    <w:rsid w:val="3C7D66E8"/>
    <w:rsid w:val="3CF44D56"/>
    <w:rsid w:val="3DBB96F6"/>
    <w:rsid w:val="3DEBCB21"/>
    <w:rsid w:val="3DEEBF36"/>
    <w:rsid w:val="3E74770B"/>
    <w:rsid w:val="3EEBE6E2"/>
    <w:rsid w:val="3EEF0C5A"/>
    <w:rsid w:val="3EF79ED1"/>
    <w:rsid w:val="3EFC57CB"/>
    <w:rsid w:val="3F2FBB44"/>
    <w:rsid w:val="3F3CCEB0"/>
    <w:rsid w:val="3F6F39C9"/>
    <w:rsid w:val="3F7F1428"/>
    <w:rsid w:val="3F7FB124"/>
    <w:rsid w:val="3FBBB6C5"/>
    <w:rsid w:val="3FBDB9CD"/>
    <w:rsid w:val="3FCE232D"/>
    <w:rsid w:val="3FD7F8FC"/>
    <w:rsid w:val="3FF729A9"/>
    <w:rsid w:val="3FF84ED3"/>
    <w:rsid w:val="3FFD2C4C"/>
    <w:rsid w:val="3FFF13C4"/>
    <w:rsid w:val="3FFFC02D"/>
    <w:rsid w:val="40CFE255"/>
    <w:rsid w:val="43CECFC9"/>
    <w:rsid w:val="44670B3B"/>
    <w:rsid w:val="457DD57C"/>
    <w:rsid w:val="45FFD088"/>
    <w:rsid w:val="46FF1343"/>
    <w:rsid w:val="47C7CF4F"/>
    <w:rsid w:val="47FFB50C"/>
    <w:rsid w:val="49FDDA6B"/>
    <w:rsid w:val="4B0E60B9"/>
    <w:rsid w:val="4BCD5112"/>
    <w:rsid w:val="4C414DE2"/>
    <w:rsid w:val="4CAB1058"/>
    <w:rsid w:val="4DECBA9B"/>
    <w:rsid w:val="4DFE138C"/>
    <w:rsid w:val="4E55E27A"/>
    <w:rsid w:val="4EF732C5"/>
    <w:rsid w:val="4EFF7044"/>
    <w:rsid w:val="4EFF7082"/>
    <w:rsid w:val="4F5761BC"/>
    <w:rsid w:val="4F6AF6F9"/>
    <w:rsid w:val="50C1A696"/>
    <w:rsid w:val="50FBF57D"/>
    <w:rsid w:val="5208365F"/>
    <w:rsid w:val="52EF759C"/>
    <w:rsid w:val="53FF63C0"/>
    <w:rsid w:val="55DD2EBD"/>
    <w:rsid w:val="55EF26B7"/>
    <w:rsid w:val="566C87B8"/>
    <w:rsid w:val="568A9874"/>
    <w:rsid w:val="56F79E0C"/>
    <w:rsid w:val="579FEF6A"/>
    <w:rsid w:val="57FF7698"/>
    <w:rsid w:val="58246C6F"/>
    <w:rsid w:val="58705DF6"/>
    <w:rsid w:val="597930AF"/>
    <w:rsid w:val="59BEC802"/>
    <w:rsid w:val="5B600965"/>
    <w:rsid w:val="5BA31097"/>
    <w:rsid w:val="5BBFF176"/>
    <w:rsid w:val="5BF7DA66"/>
    <w:rsid w:val="5BFE1295"/>
    <w:rsid w:val="5CA7EFDB"/>
    <w:rsid w:val="5D579F81"/>
    <w:rsid w:val="5DF9611B"/>
    <w:rsid w:val="5DFF5A18"/>
    <w:rsid w:val="5E5F1FDE"/>
    <w:rsid w:val="5E5F9F5D"/>
    <w:rsid w:val="5EE9264D"/>
    <w:rsid w:val="5EF05BAA"/>
    <w:rsid w:val="5EFF4687"/>
    <w:rsid w:val="5EFFD614"/>
    <w:rsid w:val="5F7DE8A7"/>
    <w:rsid w:val="5F8A4CA6"/>
    <w:rsid w:val="5FDF5F0A"/>
    <w:rsid w:val="5FECFEBC"/>
    <w:rsid w:val="5FF11F12"/>
    <w:rsid w:val="5FF8D045"/>
    <w:rsid w:val="5FF96434"/>
    <w:rsid w:val="5FFFCF76"/>
    <w:rsid w:val="62B89981"/>
    <w:rsid w:val="639C9D83"/>
    <w:rsid w:val="64E75F85"/>
    <w:rsid w:val="656822CA"/>
    <w:rsid w:val="676922D2"/>
    <w:rsid w:val="67AD9C27"/>
    <w:rsid w:val="67DBE449"/>
    <w:rsid w:val="67DF40F5"/>
    <w:rsid w:val="67EFA349"/>
    <w:rsid w:val="6B7F33B0"/>
    <w:rsid w:val="6BAB6AEF"/>
    <w:rsid w:val="6BB734BA"/>
    <w:rsid w:val="6C85EE8E"/>
    <w:rsid w:val="6CBF5B96"/>
    <w:rsid w:val="6CCB67C5"/>
    <w:rsid w:val="6DEB15CD"/>
    <w:rsid w:val="6DF736E9"/>
    <w:rsid w:val="6DFB2642"/>
    <w:rsid w:val="6DFD5344"/>
    <w:rsid w:val="6E3BE1B1"/>
    <w:rsid w:val="6EA548D2"/>
    <w:rsid w:val="6EB867FC"/>
    <w:rsid w:val="6EDB4BAC"/>
    <w:rsid w:val="6EFC1787"/>
    <w:rsid w:val="6EFFAE97"/>
    <w:rsid w:val="6F1A5F7C"/>
    <w:rsid w:val="6F380886"/>
    <w:rsid w:val="6F5C60D1"/>
    <w:rsid w:val="6F739370"/>
    <w:rsid w:val="6F76C575"/>
    <w:rsid w:val="6F7B05D5"/>
    <w:rsid w:val="6FBB1437"/>
    <w:rsid w:val="6FBCD139"/>
    <w:rsid w:val="6FBF9AB3"/>
    <w:rsid w:val="6FCFFC6E"/>
    <w:rsid w:val="6FE33E7C"/>
    <w:rsid w:val="6FE7141E"/>
    <w:rsid w:val="6FEBAA2C"/>
    <w:rsid w:val="6FFE80B7"/>
    <w:rsid w:val="6FFF2EA3"/>
    <w:rsid w:val="6FFF6739"/>
    <w:rsid w:val="6FFF829F"/>
    <w:rsid w:val="702D7B58"/>
    <w:rsid w:val="70EF561F"/>
    <w:rsid w:val="717F4434"/>
    <w:rsid w:val="71BF1048"/>
    <w:rsid w:val="72DF5F4D"/>
    <w:rsid w:val="72F85E83"/>
    <w:rsid w:val="72FFB15B"/>
    <w:rsid w:val="7362353C"/>
    <w:rsid w:val="7395D446"/>
    <w:rsid w:val="73BB10A1"/>
    <w:rsid w:val="73C5669B"/>
    <w:rsid w:val="73DF28F9"/>
    <w:rsid w:val="73F1DE72"/>
    <w:rsid w:val="73F66114"/>
    <w:rsid w:val="73FF5231"/>
    <w:rsid w:val="742E4CBF"/>
    <w:rsid w:val="74CFDF88"/>
    <w:rsid w:val="75CBC45C"/>
    <w:rsid w:val="75F6D36A"/>
    <w:rsid w:val="75FBAF3D"/>
    <w:rsid w:val="75FD0277"/>
    <w:rsid w:val="75FD5DBA"/>
    <w:rsid w:val="75FF2C24"/>
    <w:rsid w:val="76778EF5"/>
    <w:rsid w:val="76AECD20"/>
    <w:rsid w:val="76BF4C05"/>
    <w:rsid w:val="76FD1D91"/>
    <w:rsid w:val="76FF7D5F"/>
    <w:rsid w:val="773B2FAA"/>
    <w:rsid w:val="773FF198"/>
    <w:rsid w:val="77B713DB"/>
    <w:rsid w:val="77B9EB0D"/>
    <w:rsid w:val="77DE497D"/>
    <w:rsid w:val="77E79777"/>
    <w:rsid w:val="77EBEF41"/>
    <w:rsid w:val="77EDB9EC"/>
    <w:rsid w:val="77EF26C3"/>
    <w:rsid w:val="77F770C2"/>
    <w:rsid w:val="77FEC500"/>
    <w:rsid w:val="77FEECA3"/>
    <w:rsid w:val="77FF993F"/>
    <w:rsid w:val="77FFB521"/>
    <w:rsid w:val="79C65DBE"/>
    <w:rsid w:val="79F7DD09"/>
    <w:rsid w:val="79FF40C3"/>
    <w:rsid w:val="7A3FEC7B"/>
    <w:rsid w:val="7A4E4DE9"/>
    <w:rsid w:val="7AD7FB13"/>
    <w:rsid w:val="7ADF63A4"/>
    <w:rsid w:val="7AFB1DEF"/>
    <w:rsid w:val="7AFE614F"/>
    <w:rsid w:val="7B3940DE"/>
    <w:rsid w:val="7B675A4D"/>
    <w:rsid w:val="7B7B6601"/>
    <w:rsid w:val="7B7BF566"/>
    <w:rsid w:val="7B9D73B5"/>
    <w:rsid w:val="7BB74CF1"/>
    <w:rsid w:val="7BBDC7C4"/>
    <w:rsid w:val="7BBE297E"/>
    <w:rsid w:val="7BEF270D"/>
    <w:rsid w:val="7BF7CF20"/>
    <w:rsid w:val="7BFF0062"/>
    <w:rsid w:val="7CD30A70"/>
    <w:rsid w:val="7CEF5B2B"/>
    <w:rsid w:val="7CFE2FA5"/>
    <w:rsid w:val="7CFF8AB4"/>
    <w:rsid w:val="7D5A4922"/>
    <w:rsid w:val="7D77E2EF"/>
    <w:rsid w:val="7D7AEF46"/>
    <w:rsid w:val="7DC775F3"/>
    <w:rsid w:val="7DCF2589"/>
    <w:rsid w:val="7DD7FE09"/>
    <w:rsid w:val="7DDAF11A"/>
    <w:rsid w:val="7DDFD11B"/>
    <w:rsid w:val="7DF039E6"/>
    <w:rsid w:val="7DF3FAE0"/>
    <w:rsid w:val="7DFB029F"/>
    <w:rsid w:val="7DFB5D13"/>
    <w:rsid w:val="7DFE1AA2"/>
    <w:rsid w:val="7DFED2E1"/>
    <w:rsid w:val="7E1FDD47"/>
    <w:rsid w:val="7E3BF1A1"/>
    <w:rsid w:val="7E5B9E4F"/>
    <w:rsid w:val="7E7F72D2"/>
    <w:rsid w:val="7E9FB1C1"/>
    <w:rsid w:val="7EA36578"/>
    <w:rsid w:val="7EA7CFDE"/>
    <w:rsid w:val="7EDE26C6"/>
    <w:rsid w:val="7EFDDD0A"/>
    <w:rsid w:val="7EFFE088"/>
    <w:rsid w:val="7F3F19A6"/>
    <w:rsid w:val="7F3F6E05"/>
    <w:rsid w:val="7F3FA9A3"/>
    <w:rsid w:val="7F57451F"/>
    <w:rsid w:val="7F5F42CE"/>
    <w:rsid w:val="7F635042"/>
    <w:rsid w:val="7F681F9F"/>
    <w:rsid w:val="7F6B555E"/>
    <w:rsid w:val="7F7BD603"/>
    <w:rsid w:val="7F7E1EEB"/>
    <w:rsid w:val="7F92211D"/>
    <w:rsid w:val="7FA6A9E6"/>
    <w:rsid w:val="7FABA69E"/>
    <w:rsid w:val="7FBA5A00"/>
    <w:rsid w:val="7FBF35B2"/>
    <w:rsid w:val="7FBF8632"/>
    <w:rsid w:val="7FBFD79C"/>
    <w:rsid w:val="7FCE22A5"/>
    <w:rsid w:val="7FCF1EDB"/>
    <w:rsid w:val="7FCFDC14"/>
    <w:rsid w:val="7FDF16D1"/>
    <w:rsid w:val="7FE95BF6"/>
    <w:rsid w:val="7FF2D603"/>
    <w:rsid w:val="7FF6CB9C"/>
    <w:rsid w:val="7FF7645B"/>
    <w:rsid w:val="7FF7B0A4"/>
    <w:rsid w:val="7FF7C011"/>
    <w:rsid w:val="7FF7EF42"/>
    <w:rsid w:val="7FFB2FFB"/>
    <w:rsid w:val="7FFB8078"/>
    <w:rsid w:val="7FFBB048"/>
    <w:rsid w:val="7FFE44E7"/>
    <w:rsid w:val="7FFE724C"/>
    <w:rsid w:val="7FFE79E6"/>
    <w:rsid w:val="7FFE8A70"/>
    <w:rsid w:val="7FFF0DA5"/>
    <w:rsid w:val="7FFF2819"/>
    <w:rsid w:val="7FFF7CFA"/>
    <w:rsid w:val="7FFF90B4"/>
    <w:rsid w:val="7FFFADE8"/>
    <w:rsid w:val="7FFFDC77"/>
    <w:rsid w:val="7FFFEB54"/>
    <w:rsid w:val="8A5F4940"/>
    <w:rsid w:val="8B96D24B"/>
    <w:rsid w:val="91EDF987"/>
    <w:rsid w:val="92EED032"/>
    <w:rsid w:val="95FF00A0"/>
    <w:rsid w:val="97B1666B"/>
    <w:rsid w:val="9A775238"/>
    <w:rsid w:val="9C1D2EB4"/>
    <w:rsid w:val="9C4FBECF"/>
    <w:rsid w:val="9C7C52FC"/>
    <w:rsid w:val="9D3F18B6"/>
    <w:rsid w:val="9FB3A105"/>
    <w:rsid w:val="9FFB1B21"/>
    <w:rsid w:val="A1FB4C2E"/>
    <w:rsid w:val="A33D41B3"/>
    <w:rsid w:val="A7CF3BAF"/>
    <w:rsid w:val="A7E60110"/>
    <w:rsid w:val="ABBF34F8"/>
    <w:rsid w:val="AC8CFB96"/>
    <w:rsid w:val="AEB511C6"/>
    <w:rsid w:val="AF7997ED"/>
    <w:rsid w:val="AF7A03ED"/>
    <w:rsid w:val="AF7F2A5D"/>
    <w:rsid w:val="AFD7BFC8"/>
    <w:rsid w:val="AFF6926C"/>
    <w:rsid w:val="AFFF325F"/>
    <w:rsid w:val="B0F6C597"/>
    <w:rsid w:val="B0F79FFA"/>
    <w:rsid w:val="B35F1697"/>
    <w:rsid w:val="B5F3680F"/>
    <w:rsid w:val="B63D1E34"/>
    <w:rsid w:val="B6974D2E"/>
    <w:rsid w:val="B9D9DCC8"/>
    <w:rsid w:val="B9DBEE76"/>
    <w:rsid w:val="BAB7610A"/>
    <w:rsid w:val="BBCE3C35"/>
    <w:rsid w:val="BCDF00E5"/>
    <w:rsid w:val="BD5F109E"/>
    <w:rsid w:val="BD9727BF"/>
    <w:rsid w:val="BDFC72EC"/>
    <w:rsid w:val="BDFDC8CB"/>
    <w:rsid w:val="BE5F4430"/>
    <w:rsid w:val="BEFD7B95"/>
    <w:rsid w:val="BF5E2ECF"/>
    <w:rsid w:val="BF72B6DB"/>
    <w:rsid w:val="BF7CAE79"/>
    <w:rsid w:val="BF7F19D4"/>
    <w:rsid w:val="BF96DA14"/>
    <w:rsid w:val="BFA75A7B"/>
    <w:rsid w:val="BFD3235A"/>
    <w:rsid w:val="BFD606CA"/>
    <w:rsid w:val="BFD7CDA3"/>
    <w:rsid w:val="BFDDC85B"/>
    <w:rsid w:val="BFDDE92C"/>
    <w:rsid w:val="BFDFA186"/>
    <w:rsid w:val="BFEFB269"/>
    <w:rsid w:val="BFFA96B8"/>
    <w:rsid w:val="BFFB0B88"/>
    <w:rsid w:val="BFFCF9A7"/>
    <w:rsid w:val="BFFE89B3"/>
    <w:rsid w:val="BFFFABF0"/>
    <w:rsid w:val="C3EDE26C"/>
    <w:rsid w:val="C7731BF9"/>
    <w:rsid w:val="C77E14B2"/>
    <w:rsid w:val="CA7FA8B4"/>
    <w:rsid w:val="CBAE627B"/>
    <w:rsid w:val="CBEF9B16"/>
    <w:rsid w:val="CBF7B594"/>
    <w:rsid w:val="CCA73461"/>
    <w:rsid w:val="CD7EDB25"/>
    <w:rsid w:val="CEFD3331"/>
    <w:rsid w:val="CF9F5E5C"/>
    <w:rsid w:val="CFF3ACDB"/>
    <w:rsid w:val="CFF7DF14"/>
    <w:rsid w:val="D3284DF3"/>
    <w:rsid w:val="D5F7E605"/>
    <w:rsid w:val="D69E01D0"/>
    <w:rsid w:val="D74F3AFD"/>
    <w:rsid w:val="D7BD3E9B"/>
    <w:rsid w:val="D7DF2EDC"/>
    <w:rsid w:val="D7F75F34"/>
    <w:rsid w:val="D7FC4E71"/>
    <w:rsid w:val="DAE7F5DC"/>
    <w:rsid w:val="DB995EFF"/>
    <w:rsid w:val="DBFB2F6B"/>
    <w:rsid w:val="DCFF1831"/>
    <w:rsid w:val="DD744F73"/>
    <w:rsid w:val="DD7FEBC9"/>
    <w:rsid w:val="DD8E36B5"/>
    <w:rsid w:val="DDCE8B2A"/>
    <w:rsid w:val="DDEABEAF"/>
    <w:rsid w:val="DEB74B61"/>
    <w:rsid w:val="DEFD344B"/>
    <w:rsid w:val="DEFF6075"/>
    <w:rsid w:val="DEFFDFB1"/>
    <w:rsid w:val="DF23F0A9"/>
    <w:rsid w:val="DF2E019D"/>
    <w:rsid w:val="DF675AEB"/>
    <w:rsid w:val="DF7F6586"/>
    <w:rsid w:val="DFB9BAFC"/>
    <w:rsid w:val="DFBFB0FA"/>
    <w:rsid w:val="DFEE578B"/>
    <w:rsid w:val="DFFBAC6C"/>
    <w:rsid w:val="E0B7786D"/>
    <w:rsid w:val="E1FFE9CB"/>
    <w:rsid w:val="E27F602C"/>
    <w:rsid w:val="E2F3E066"/>
    <w:rsid w:val="E3DBDDE4"/>
    <w:rsid w:val="E3FAB623"/>
    <w:rsid w:val="E57FEF0E"/>
    <w:rsid w:val="E62B38B3"/>
    <w:rsid w:val="E7768941"/>
    <w:rsid w:val="E77B479A"/>
    <w:rsid w:val="E7D6CA38"/>
    <w:rsid w:val="E9BB34F1"/>
    <w:rsid w:val="E9E98B3D"/>
    <w:rsid w:val="E9FE812F"/>
    <w:rsid w:val="EB5DFE8F"/>
    <w:rsid w:val="EBB54078"/>
    <w:rsid w:val="EBF8D3EF"/>
    <w:rsid w:val="EC3E1E0A"/>
    <w:rsid w:val="EC790161"/>
    <w:rsid w:val="ECAB82BA"/>
    <w:rsid w:val="ECFFF5DB"/>
    <w:rsid w:val="EDF68172"/>
    <w:rsid w:val="EDFD1EBB"/>
    <w:rsid w:val="EEF02C85"/>
    <w:rsid w:val="EEFF0BBC"/>
    <w:rsid w:val="EEFF670E"/>
    <w:rsid w:val="EF1FCEB6"/>
    <w:rsid w:val="EF590462"/>
    <w:rsid w:val="EF5F8B4F"/>
    <w:rsid w:val="EF5FC7ED"/>
    <w:rsid w:val="EF7F8394"/>
    <w:rsid w:val="EF9FAB72"/>
    <w:rsid w:val="EFAF732F"/>
    <w:rsid w:val="EFB64A11"/>
    <w:rsid w:val="EFDBE6BD"/>
    <w:rsid w:val="EFDE19D8"/>
    <w:rsid w:val="EFEF2081"/>
    <w:rsid w:val="EFF515CC"/>
    <w:rsid w:val="EFF5374D"/>
    <w:rsid w:val="EFFA4C6A"/>
    <w:rsid w:val="EFFBB742"/>
    <w:rsid w:val="EFFF5EF6"/>
    <w:rsid w:val="EFFFAF9A"/>
    <w:rsid w:val="F15B9754"/>
    <w:rsid w:val="F1ED5385"/>
    <w:rsid w:val="F1F1563A"/>
    <w:rsid w:val="F2FFA3C2"/>
    <w:rsid w:val="F33AA39C"/>
    <w:rsid w:val="F3F70E17"/>
    <w:rsid w:val="F3F7DF07"/>
    <w:rsid w:val="F3F90174"/>
    <w:rsid w:val="F3FEFC5B"/>
    <w:rsid w:val="F47DB012"/>
    <w:rsid w:val="F49CABA5"/>
    <w:rsid w:val="F55F2AD8"/>
    <w:rsid w:val="F56F4280"/>
    <w:rsid w:val="F57C8EE2"/>
    <w:rsid w:val="F57F1720"/>
    <w:rsid w:val="F5DE3B72"/>
    <w:rsid w:val="F5FF7EFE"/>
    <w:rsid w:val="F6FD0DAD"/>
    <w:rsid w:val="F7785672"/>
    <w:rsid w:val="F7AF1153"/>
    <w:rsid w:val="F7B9421F"/>
    <w:rsid w:val="F7CD0B36"/>
    <w:rsid w:val="F7DB681C"/>
    <w:rsid w:val="F7DDA5D5"/>
    <w:rsid w:val="F7E7645E"/>
    <w:rsid w:val="F7F32597"/>
    <w:rsid w:val="F7F7954D"/>
    <w:rsid w:val="F8AE6219"/>
    <w:rsid w:val="F8B8313A"/>
    <w:rsid w:val="F8BB65D1"/>
    <w:rsid w:val="F9CFCBF5"/>
    <w:rsid w:val="F9DF4C6D"/>
    <w:rsid w:val="F9E95574"/>
    <w:rsid w:val="F9FC3A33"/>
    <w:rsid w:val="F9FF42F0"/>
    <w:rsid w:val="FA6D5BC2"/>
    <w:rsid w:val="FAAFBE5D"/>
    <w:rsid w:val="FAE68073"/>
    <w:rsid w:val="FAFF17DB"/>
    <w:rsid w:val="FB19A877"/>
    <w:rsid w:val="FB577AF5"/>
    <w:rsid w:val="FB6B67E0"/>
    <w:rsid w:val="FB6F74ED"/>
    <w:rsid w:val="FBB659C7"/>
    <w:rsid w:val="FBBEF629"/>
    <w:rsid w:val="FBBF22F3"/>
    <w:rsid w:val="FBBF7DC1"/>
    <w:rsid w:val="FBCED900"/>
    <w:rsid w:val="FBE7228B"/>
    <w:rsid w:val="FBE72DBA"/>
    <w:rsid w:val="FBEE5BD4"/>
    <w:rsid w:val="FBEF03A6"/>
    <w:rsid w:val="FBFB735B"/>
    <w:rsid w:val="FBFF8C3D"/>
    <w:rsid w:val="FC3B4BD0"/>
    <w:rsid w:val="FC6828C3"/>
    <w:rsid w:val="FC7E0D28"/>
    <w:rsid w:val="FCDE8A19"/>
    <w:rsid w:val="FCFEFB6A"/>
    <w:rsid w:val="FCFF79FD"/>
    <w:rsid w:val="FD2F43BF"/>
    <w:rsid w:val="FD5BF67F"/>
    <w:rsid w:val="FD6C6DD3"/>
    <w:rsid w:val="FD7D158D"/>
    <w:rsid w:val="FD7F4C1E"/>
    <w:rsid w:val="FD7F5697"/>
    <w:rsid w:val="FD7FBB54"/>
    <w:rsid w:val="FD7FF752"/>
    <w:rsid w:val="FD8EAFD4"/>
    <w:rsid w:val="FD9BA44E"/>
    <w:rsid w:val="FDB7D771"/>
    <w:rsid w:val="FDD53F7C"/>
    <w:rsid w:val="FDDF9F92"/>
    <w:rsid w:val="FDDFE4E1"/>
    <w:rsid w:val="FDEDF09A"/>
    <w:rsid w:val="FDF9D9E7"/>
    <w:rsid w:val="FDFBA950"/>
    <w:rsid w:val="FDFBF55C"/>
    <w:rsid w:val="FDFD5235"/>
    <w:rsid w:val="FDFE933B"/>
    <w:rsid w:val="FE3D965B"/>
    <w:rsid w:val="FE774522"/>
    <w:rsid w:val="FE7978F3"/>
    <w:rsid w:val="FE7B2A01"/>
    <w:rsid w:val="FE7F389C"/>
    <w:rsid w:val="FEAD9E6D"/>
    <w:rsid w:val="FEBF33E7"/>
    <w:rsid w:val="FEF7927E"/>
    <w:rsid w:val="FEFA4A02"/>
    <w:rsid w:val="FEFFD1EE"/>
    <w:rsid w:val="FF2C4ED6"/>
    <w:rsid w:val="FF3C0BF8"/>
    <w:rsid w:val="FF4B3D8A"/>
    <w:rsid w:val="FF552955"/>
    <w:rsid w:val="FF6F72D0"/>
    <w:rsid w:val="FF73CBDF"/>
    <w:rsid w:val="FF865887"/>
    <w:rsid w:val="FF8BE29F"/>
    <w:rsid w:val="FF97257C"/>
    <w:rsid w:val="FFB47FC7"/>
    <w:rsid w:val="FFB86BE7"/>
    <w:rsid w:val="FFD5B21B"/>
    <w:rsid w:val="FFDC2B9F"/>
    <w:rsid w:val="FFDDD24F"/>
    <w:rsid w:val="FFE7268E"/>
    <w:rsid w:val="FFE7923F"/>
    <w:rsid w:val="FFEF0BE3"/>
    <w:rsid w:val="FFEF28C6"/>
    <w:rsid w:val="FFF51469"/>
    <w:rsid w:val="FFF61955"/>
    <w:rsid w:val="FFFBAE77"/>
    <w:rsid w:val="FFFF5868"/>
    <w:rsid w:val="FFFF6093"/>
    <w:rsid w:val="FFFF70B6"/>
    <w:rsid w:val="FFFFE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jc w:val="center"/>
      <w:outlineLvl w:val="0"/>
    </w:pPr>
    <w:rPr>
      <w:rFonts w:hint="eastAsia" w:ascii="方正小标宋简体" w:hAnsi="方正小标宋简体" w:eastAsia="方正小标宋简体"/>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Calibri" w:hAnsi="Calibri"/>
    </w:r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styleId="10">
    <w:name w:val="Strong"/>
    <w:basedOn w:val="9"/>
    <w:qFormat/>
    <w:uiPriority w:val="0"/>
    <w:rPr>
      <w:b/>
    </w:r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 w:type="character" w:customStyle="1" w:styleId="12">
    <w:name w:val="页脚 字符"/>
    <w:basedOn w:val="9"/>
    <w:link w:val="5"/>
    <w:qFormat/>
    <w:uiPriority w:val="99"/>
    <w:rPr>
      <w:rFonts w:ascii="Times New Roman" w:hAnsi="Times New Roman" w:eastAsia="宋体" w:cs="Times New Roman"/>
      <w:kern w:val="2"/>
      <w:sz w:val="18"/>
      <w:szCs w:val="18"/>
    </w:rPr>
  </w:style>
  <w:style w:type="character" w:customStyle="1" w:styleId="13">
    <w:name w:val="批注框文本 字符"/>
    <w:basedOn w:val="9"/>
    <w:link w:val="4"/>
    <w:qFormat/>
    <w:uiPriority w:val="0"/>
    <w:rPr>
      <w:rFonts w:ascii="Times New Roman" w:hAnsi="Times New Roman" w:eastAsia="宋体" w:cs="Times New Roman"/>
      <w:kern w:val="2"/>
      <w:sz w:val="18"/>
      <w:szCs w:val="18"/>
    </w:rPr>
  </w:style>
  <w:style w:type="paragraph" w:customStyle="1" w:styleId="14">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4680</Words>
  <Characters>4787</Characters>
  <Lines>40</Lines>
  <Paragraphs>11</Paragraphs>
  <TotalTime>21</TotalTime>
  <ScaleCrop>false</ScaleCrop>
  <LinksUpToDate>false</LinksUpToDate>
  <CharactersWithSpaces>4826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2024-01-12T15:13:00Z</dcterms:created>
  <dc:creator>pc</dc:creator>
  <cp:lastModifiedBy>俞超军</cp:lastModifiedBy>
  <cp:lastPrinted>2023-11-20T14:38:00Z</cp:lastPrinted>
  <dcterms:modified xsi:type="dcterms:W3CDTF">2024-04-12T11:31:51Z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E931D0FAE8FD4A74A78EE97A27F00549</vt:lpwstr>
  </property>
</Properties>
</file>