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企业标准“领跑者”评估机构项目申报指南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仿宋_GB2312" w:eastAsia="仿宋_GB2312" w:cs="仿宋_GB2312"/>
          <w:snapToGrid w:val="0"/>
          <w:color w:val="000000"/>
          <w:kern w:val="0"/>
          <w:sz w:val="32"/>
          <w:szCs w:val="32"/>
          <w:shd w:val="clear" w:color="auto" w:fill="FFFFFF"/>
          <w:lang w:bidi="ar"/>
        </w:rPr>
      </w:pPr>
      <w:r>
        <w:rPr>
          <w:rFonts w:hint="eastAsia" w:ascii="仿宋_GB2312" w:hAnsi="仿宋_GB2312" w:eastAsia="仿宋_GB2312" w:cs="仿宋_GB2312"/>
          <w:snapToGrid w:val="0"/>
          <w:color w:val="000000"/>
          <w:kern w:val="0"/>
          <w:sz w:val="32"/>
          <w:szCs w:val="32"/>
          <w:shd w:val="clear" w:color="auto" w:fill="FFFFFF"/>
          <w:lang w:eastAsia="zh-CN" w:bidi="ar"/>
        </w:rPr>
        <w:t>（五）</w:t>
      </w:r>
      <w:r>
        <w:rPr>
          <w:rFonts w:hint="eastAsia" w:ascii="仿宋_GB2312" w:hAnsi="仿宋_GB2312" w:eastAsia="仿宋_GB2312" w:cs="仿宋_GB2312"/>
          <w:snapToGrid w:val="0"/>
          <w:color w:val="000000"/>
          <w:kern w:val="0"/>
          <w:sz w:val="32"/>
          <w:szCs w:val="32"/>
          <w:shd w:val="clear" w:color="auto" w:fill="FFFFFF"/>
          <w:lang w:bidi="ar"/>
        </w:rPr>
        <w:t>上一年度获得深圳市企业标准“领跑者”评估机构项目资助。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bidi="ar"/>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21DDF0E-9F0E-466B-9E30-4B7FFAE165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DD1F93F-CC38-454C-B77A-14B3C590B04B}"/>
  </w:font>
  <w:font w:name="方正小标宋_GBK">
    <w:panose1 w:val="02000000000000000000"/>
    <w:charset w:val="86"/>
    <w:family w:val="script"/>
    <w:pitch w:val="default"/>
    <w:sig w:usb0="A00002BF" w:usb1="38CF7CFA" w:usb2="00082016" w:usb3="00000000" w:csb0="00040001" w:csb1="00000000"/>
    <w:embedRegular r:id="rId3" w:fontKey="{ED7F2A48-7402-4D4F-8A43-078F9B855772}"/>
  </w:font>
  <w:font w:name="仿宋_GB2312">
    <w:panose1 w:val="02010609030101010101"/>
    <w:charset w:val="86"/>
    <w:family w:val="modern"/>
    <w:pitch w:val="default"/>
    <w:sig w:usb0="00000001" w:usb1="080E0000" w:usb2="00000000" w:usb3="00000000" w:csb0="00040000" w:csb1="00000000"/>
    <w:embedRegular r:id="rId4" w:fontKey="{17B91A57-CEED-42F4-B56E-048F191F2CC0}"/>
  </w:font>
  <w:font w:name="FangSong_GB2312">
    <w:altName w:val="仿宋_GB2312"/>
    <w:panose1 w:val="00000000000000000000"/>
    <w:charset w:val="86"/>
    <w:family w:val="auto"/>
    <w:pitch w:val="default"/>
    <w:sig w:usb0="00000000" w:usb1="00000000" w:usb2="00000000" w:usb3="00000000" w:csb0="00040000" w:csb1="00000000"/>
    <w:embedRegular r:id="rId5" w:fontKey="{69E99CAB-977F-4F10-8A70-22499BC326BE}"/>
  </w:font>
  <w:font w:name="楷体_GB2312">
    <w:panose1 w:val="02010609030101010101"/>
    <w:charset w:val="86"/>
    <w:family w:val="modern"/>
    <w:pitch w:val="default"/>
    <w:sig w:usb0="00000001" w:usb1="080E0000" w:usb2="00000000" w:usb3="00000000" w:csb0="00040000" w:csb1="00000000"/>
    <w:embedRegular r:id="rId6" w:fontKey="{CF9775C4-BA0B-40DC-8C2A-DA49E62CC2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15851F5"/>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FE20BB"/>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2024-03-18T08:39:15Z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