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卓越质量培育</w:t>
      </w:r>
      <w:r>
        <w:rPr>
          <w:rFonts w:hint="eastAsia" w:ascii="方正小标宋_GBK" w:hAnsi="方正小标宋_GBK" w:eastAsia="方正小标宋_GBK"/>
          <w:sz w:val="44"/>
          <w:szCs w:val="44"/>
          <w:lang w:eastAsia="zh-CN"/>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（五）</w:t>
      </w:r>
      <w:r>
        <w:rPr>
          <w:rFonts w:hint="eastAsia" w:ascii="仿宋_GB2312" w:hAnsi="Times New Roman" w:eastAsia="仿宋_GB2312" w:cs="Times New Roman"/>
          <w:sz w:val="32"/>
          <w:szCs w:val="32"/>
          <w:highlight w:val="none"/>
          <w:lang w:val="en-US" w:eastAsia="zh-CN"/>
        </w:rPr>
        <w:t>申请单位质量管理体系较完善,合法运营三年以上。</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（六）</w:t>
      </w:r>
      <w:r>
        <w:rPr>
          <w:rFonts w:hint="eastAsia" w:ascii="仿宋_GB2312" w:hAnsi="Times New Roman" w:eastAsia="仿宋_GB2312" w:cs="Times New Roman"/>
          <w:sz w:val="32"/>
          <w:szCs w:val="32"/>
          <w:highlight w:val="none"/>
          <w:lang w:val="en-US" w:eastAsia="zh-CN"/>
        </w:rPr>
        <w:t>申请单位主要产品（服务）拥有自主知识产权核心技术或特色化、差异化优势；</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（七）</w:t>
      </w:r>
      <w:r>
        <w:rPr>
          <w:rFonts w:hint="eastAsia" w:ascii="仿宋_GB2312" w:hAnsi="Times New Roman" w:eastAsia="仿宋_GB2312" w:cs="Times New Roman"/>
          <w:sz w:val="32"/>
          <w:szCs w:val="32"/>
          <w:highlight w:val="none"/>
          <w:lang w:val="en-US" w:eastAsia="zh-CN"/>
        </w:rPr>
        <w:t>已导入实施国际国内先进质量标准一年以上并在财务指标、经营效率指标等方面取得量化绩效成效；</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（八）</w:t>
      </w:r>
      <w:r>
        <w:rPr>
          <w:rFonts w:hint="eastAsia" w:ascii="仿宋_GB2312" w:hAnsi="Times New Roman" w:eastAsia="仿宋_GB2312" w:cs="Times New Roman"/>
          <w:sz w:val="32"/>
          <w:szCs w:val="32"/>
          <w:highlight w:val="none"/>
          <w:lang w:val="en-US" w:eastAsia="zh-CN"/>
        </w:rPr>
        <w:t>评审标准原则上依据</w:t>
      </w:r>
      <w:r>
        <w:rPr>
          <w:rFonts w:hint="default" w:ascii="仿宋_GB2312" w:hAnsi="Times New Roman" w:eastAsia="仿宋_GB2312" w:cs="Times New Roman"/>
          <w:sz w:val="32"/>
          <w:szCs w:val="32"/>
          <w:highlight w:val="none"/>
          <w:lang w:val="en" w:eastAsia="zh-CN"/>
        </w:rPr>
        <w:t>最新执行的</w:t>
      </w:r>
      <w:r>
        <w:rPr>
          <w:rFonts w:hint="eastAsia" w:ascii="仿宋_GB2312" w:hAnsi="Times New Roman" w:eastAsia="仿宋_GB2312" w:cs="Times New Roman"/>
          <w:sz w:val="32"/>
          <w:szCs w:val="32"/>
          <w:highlight w:val="none"/>
          <w:lang w:val="en-US" w:eastAsia="zh-CN"/>
        </w:rPr>
        <w:t>深圳市市长质量奖评定标准，深圳市市场监督管理局光明监管局可以根据深圳市和光明区最新政策进行年度调整。</w:t>
      </w:r>
    </w:p>
    <w:p>
      <w:pPr>
        <w:keepNext w:val="0"/>
        <w:keepLines w:val="0"/>
        <w:pageBreakBefore w:val="0"/>
        <w:kinsoku/>
        <w:wordWrap/>
        <w:overflowPunct/>
        <w:topLinePunct w:val="0"/>
        <w:bidi w:val="0"/>
        <w:spacing w:line="560" w:lineRule="exact"/>
        <w:ind w:firstLine="640" w:firstLineChars="200"/>
        <w:textAlignment w:val="auto"/>
        <w:rPr>
          <w:rFonts w:hint="eastAsia"/>
          <w:lang w:eastAsia="zh-CN"/>
        </w:rPr>
      </w:pPr>
      <w:r>
        <w:rPr>
          <w:rFonts w:hint="eastAsia" w:ascii="仿宋_GB2312" w:eastAsia="仿宋_GB2312" w:cs="宋体"/>
          <w:kern w:val="2"/>
          <w:sz w:val="32"/>
          <w:szCs w:val="32"/>
          <w:highlight w:val="none"/>
          <w:lang w:eastAsia="zh-CN"/>
        </w:rPr>
        <w:t>（九）</w:t>
      </w:r>
      <w:r>
        <w:rPr>
          <w:rFonts w:hint="eastAsia" w:ascii="仿宋_GB2312" w:hAnsi="Times New Roman" w:eastAsia="仿宋_GB2312" w:cs="Times New Roman"/>
          <w:sz w:val="32"/>
          <w:szCs w:val="32"/>
          <w:highlight w:val="none"/>
          <w:lang w:val="en-US" w:eastAsia="zh-CN"/>
        </w:rPr>
        <w:t>获得过国家、省、市、区</w:t>
      </w:r>
      <w:r>
        <w:rPr>
          <w:rFonts w:hint="default" w:ascii="仿宋_GB2312" w:hAnsi="Times New Roman" w:eastAsia="仿宋_GB2312" w:cs="Times New Roman"/>
          <w:sz w:val="32"/>
          <w:szCs w:val="32"/>
          <w:highlight w:val="none"/>
          <w:lang w:val="en" w:eastAsia="zh-CN"/>
        </w:rPr>
        <w:t>政府</w:t>
      </w:r>
      <w:r>
        <w:rPr>
          <w:rFonts w:hint="eastAsia" w:ascii="仿宋_GB2312" w:hAnsi="Times New Roman" w:eastAsia="仿宋_GB2312" w:cs="Times New Roman"/>
          <w:sz w:val="32"/>
          <w:szCs w:val="32"/>
          <w:highlight w:val="none"/>
          <w:lang w:val="en-US" w:eastAsia="zh-CN"/>
        </w:rPr>
        <w:t>质量</w:t>
      </w:r>
      <w:r>
        <w:rPr>
          <w:rFonts w:hint="default" w:ascii="仿宋_GB2312" w:hAnsi="Times New Roman" w:eastAsia="仿宋_GB2312" w:cs="Times New Roman"/>
          <w:sz w:val="32"/>
          <w:szCs w:val="32"/>
          <w:highlight w:val="none"/>
          <w:lang w:val="en" w:eastAsia="zh-CN"/>
        </w:rPr>
        <w:t>奖</w:t>
      </w:r>
      <w:r>
        <w:rPr>
          <w:rFonts w:hint="eastAsia" w:ascii="仿宋_GB2312" w:hAnsi="Times New Roman" w:eastAsia="仿宋_GB2312" w:cs="Times New Roman"/>
          <w:sz w:val="32"/>
          <w:szCs w:val="32"/>
          <w:highlight w:val="none"/>
          <w:lang w:val="en-US" w:eastAsia="zh-CN"/>
        </w:rPr>
        <w:t>奖励的单位、获得过往届卓越绩效试点工程资助的单位均不再受理申请。</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ascii="仿宋_GB2312" w:hAnsi="仿宋_GB2312" w:eastAsia="仿宋_GB2312" w:cs="仿宋_GB2312"/>
          <w:snapToGrid w:val="0"/>
          <w:color w:val="000000"/>
          <w:kern w:val="0"/>
          <w:sz w:val="32"/>
          <w:szCs w:val="32"/>
          <w:highlight w:val="none"/>
          <w:shd w:val="clear" w:color="auto" w:fill="FFFFFF"/>
          <w:lang w:eastAsia="zh-CN" w:bidi="ar"/>
        </w:rPr>
      </w:pPr>
      <w:r>
        <w:rPr>
          <w:rFonts w:hint="eastAsia" w:ascii="仿宋_GB2312" w:hAnsi="仿宋_GB2312" w:eastAsia="仿宋_GB2312" w:cs="仿宋_GB2312"/>
          <w:snapToGrid w:val="0"/>
          <w:color w:val="000000"/>
          <w:kern w:val="0"/>
          <w:sz w:val="32"/>
          <w:szCs w:val="32"/>
          <w:highlight w:val="none"/>
          <w:shd w:val="clear" w:color="auto" w:fill="FFFFFF"/>
          <w:lang w:val="en-US" w:eastAsia="zh-CN" w:bidi="ar"/>
        </w:rPr>
        <w:t>（六）</w:t>
      </w:r>
      <w:r>
        <w:rPr>
          <w:rFonts w:hint="eastAsia" w:ascii="仿宋_GB2312" w:hAnsi="仿宋_GB2312" w:eastAsia="仿宋_GB2312" w:cs="仿宋_GB2312"/>
          <w:snapToGrid w:val="0"/>
          <w:color w:val="000000"/>
          <w:kern w:val="0"/>
          <w:sz w:val="32"/>
          <w:szCs w:val="32"/>
          <w:highlight w:val="none"/>
          <w:shd w:val="clear" w:color="auto" w:fill="FFFFFF"/>
          <w:lang w:eastAsia="zh-CN" w:bidi="ar"/>
        </w:rPr>
        <w:t>卓越质量自评报告以及相关证实性材料。</w:t>
      </w:r>
    </w:p>
    <w:p>
      <w:pPr>
        <w:pStyle w:val="10"/>
        <w:spacing w:line="560" w:lineRule="exact"/>
        <w:ind w:left="0" w:firstLine="640" w:firstLineChars="200"/>
        <w:rPr>
          <w:rFonts w:hint="eastAsia"/>
        </w:rPr>
      </w:pPr>
      <w:r>
        <w:rPr>
          <w:rFonts w:hint="eastAsia" w:ascii="Times New Roman" w:hAnsi="Times New Roman" w:eastAsia="仿宋_GB2312" w:cs="Times New Roman"/>
          <w:sz w:val="32"/>
          <w:szCs w:val="32"/>
          <w:highlight w:val="none"/>
          <w:lang w:val="en-US" w:eastAsia="zh-CN"/>
        </w:rPr>
        <w:t>（七）</w:t>
      </w:r>
      <w:r>
        <w:rPr>
          <w:rFonts w:hint="eastAsia" w:ascii="Times New Roman" w:hAnsi="Times New Roman" w:eastAsia="仿宋_GB2312" w:cs="Times New Roman"/>
          <w:sz w:val="32"/>
          <w:szCs w:val="32"/>
          <w:highlight w:val="none"/>
        </w:rPr>
        <w:t>具有良好的经营绩效和业绩</w:t>
      </w:r>
      <w:r>
        <w:rPr>
          <w:rFonts w:hint="eastAsia" w:ascii="仿宋_GB2312" w:hAnsi="楷体_GB2312" w:eastAsia="仿宋_GB2312" w:cs="楷体_GB2312"/>
          <w:sz w:val="32"/>
          <w:szCs w:val="32"/>
          <w:highlight w:val="none"/>
          <w:lang w:val="en-US" w:eastAsia="zh-CN"/>
        </w:rPr>
        <w:t>证明材料。如：近三年</w:t>
      </w:r>
      <w:r>
        <w:rPr>
          <w:rFonts w:hint="eastAsia" w:ascii="仿宋_GB2312" w:hAnsi="楷体_GB2312" w:eastAsia="仿宋_GB2312" w:cs="楷体_GB2312"/>
          <w:sz w:val="32"/>
          <w:szCs w:val="32"/>
          <w:highlight w:val="none"/>
        </w:rPr>
        <w:t>财务审计报告</w:t>
      </w:r>
      <w:r>
        <w:rPr>
          <w:rFonts w:hint="eastAsia" w:ascii="仿宋_GB2312" w:hAnsi="楷体_GB2312" w:eastAsia="仿宋_GB2312" w:cs="楷体_GB2312"/>
          <w:sz w:val="32"/>
          <w:szCs w:val="32"/>
          <w:highlight w:val="none"/>
          <w:lang w:eastAsia="zh-CN"/>
        </w:rPr>
        <w:t>或</w:t>
      </w:r>
      <w:r>
        <w:rPr>
          <w:rFonts w:hint="eastAsia" w:ascii="仿宋_GB2312" w:hAnsi="楷体_GB2312" w:eastAsia="仿宋_GB2312" w:cs="楷体_GB2312"/>
          <w:sz w:val="32"/>
          <w:szCs w:val="32"/>
          <w:highlight w:val="none"/>
        </w:rPr>
        <w:t>财务报表</w:t>
      </w:r>
      <w:r>
        <w:rPr>
          <w:rFonts w:hint="eastAsia" w:ascii="仿宋_GB2312" w:hAnsi="楷体_GB2312" w:eastAsia="仿宋_GB2312" w:cs="楷体_GB2312"/>
          <w:sz w:val="32"/>
          <w:szCs w:val="32"/>
          <w:highlight w:val="none"/>
          <w:lang w:eastAsia="zh-CN"/>
        </w:rPr>
        <w:t>等。</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bookmarkStart w:id="0" w:name="_GoBack"/>
      <w:bookmarkEnd w:id="0"/>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D09CBF-F1D1-4B23-8424-83E06B5A60D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563BA05-2994-4081-A1FA-65C26FD6F1F6}"/>
  </w:font>
  <w:font w:name="方正小标宋_GBK">
    <w:panose1 w:val="02000000000000000000"/>
    <w:charset w:val="86"/>
    <w:family w:val="script"/>
    <w:pitch w:val="default"/>
    <w:sig w:usb0="A00002BF" w:usb1="38CF7CFA" w:usb2="00082016" w:usb3="00000000" w:csb0="00040001" w:csb1="00000000"/>
    <w:embedRegular r:id="rId3" w:fontKey="{2E820856-C15E-4BE9-84F8-403519B71B5B}"/>
  </w:font>
  <w:font w:name="仿宋_GB2312">
    <w:panose1 w:val="02010609030101010101"/>
    <w:charset w:val="86"/>
    <w:family w:val="modern"/>
    <w:pitch w:val="default"/>
    <w:sig w:usb0="00000001" w:usb1="080E0000" w:usb2="00000000" w:usb3="00000000" w:csb0="00040000" w:csb1="00000000"/>
    <w:embedRegular r:id="rId4" w:fontKey="{D4BA0083-5D54-4987-BC76-FE7ADB9E66D4}"/>
  </w:font>
  <w:font w:name="FangSong_GB2312">
    <w:altName w:val="仿宋_GB2312"/>
    <w:panose1 w:val="00000000000000000000"/>
    <w:charset w:val="86"/>
    <w:family w:val="auto"/>
    <w:pitch w:val="default"/>
    <w:sig w:usb0="00000000" w:usb1="00000000" w:usb2="00000000" w:usb3="00000000" w:csb0="00040000" w:csb1="00000000"/>
    <w:embedRegular r:id="rId5" w:fontKey="{271D23E7-A4ED-409B-9B38-B48B7F0AB8C0}"/>
  </w:font>
  <w:font w:name="楷体_GB2312">
    <w:panose1 w:val="02010609030101010101"/>
    <w:charset w:val="86"/>
    <w:family w:val="modern"/>
    <w:pitch w:val="default"/>
    <w:sig w:usb0="00000001" w:usb1="080E0000" w:usb2="00000000" w:usb3="00000000" w:csb0="00040000" w:csb1="00000000"/>
    <w:embedRegular r:id="rId6" w:fontKey="{2056DCA0-9BD9-44BF-A2DA-3D5B97DE69C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0E947F4C"/>
    <w:rsid w:val="106D0892"/>
    <w:rsid w:val="109024B1"/>
    <w:rsid w:val="10B637FF"/>
    <w:rsid w:val="124D44D7"/>
    <w:rsid w:val="12530AB8"/>
    <w:rsid w:val="12BE160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D8E5545"/>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222E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2024-03-18T08:17:39Z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