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专利代理机构项目申报指南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widowControl w:val="0"/>
        <w:snapToGrid w:val="0"/>
        <w:spacing w:line="560" w:lineRule="exact"/>
        <w:ind w:firstLine="640"/>
        <w:jc w:val="both"/>
        <w:rPr>
          <w:rFonts w:hint="eastAsia"/>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代理辖区内企业专利获中国专利金奖、银奖的专利代理机构</w:t>
      </w:r>
      <w:r>
        <w:rPr>
          <w:rFonts w:hint="eastAsia" w:ascii="FangSong_GB2312" w:hAnsi="FangSong_GB2312" w:eastAsia="FangSong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专利代理机构资质证明文件。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val="en-US" w:eastAsia="zh-CN"/>
        </w:rPr>
        <w:t>专利代理情况证明。如：</w:t>
      </w:r>
      <w:r>
        <w:rPr>
          <w:rFonts w:hint="eastAsia" w:ascii="Times New Roman" w:hAnsi="Times New Roman" w:eastAsia="仿宋_GB2312" w:cs="Times New Roman"/>
          <w:sz w:val="32"/>
          <w:szCs w:val="32"/>
          <w:highlight w:val="none"/>
          <w:lang w:eastAsia="zh-CN"/>
        </w:rPr>
        <w:t>代理专利申请文件、专利证书、专利登记簿副本等。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Times New Roman" w:hAnsi="Times New Roman" w:eastAsia="仿宋_GB2312" w:cs="Times New Roman"/>
          <w:sz w:val="32"/>
          <w:szCs w:val="32"/>
          <w:highlight w:val="none"/>
          <w:lang w:eastAsia="zh-CN"/>
        </w:rPr>
        <w:t>获奖相关证明（如</w:t>
      </w:r>
      <w:r>
        <w:rPr>
          <w:rFonts w:hint="eastAsia"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eastAsia="zh-CN"/>
        </w:rPr>
        <w:t>获奖证书、牌匾、授奖文件等）。</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B000F9F-8F6D-4059-89C3-2FC7B7881422}"/>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1E1AF937-4514-42BC-BFAC-8A760AB7964C}"/>
  </w:font>
  <w:font w:name="方正小标宋_GBK">
    <w:panose1 w:val="02000000000000000000"/>
    <w:charset w:val="86"/>
    <w:family w:val="script"/>
    <w:pitch w:val="default"/>
    <w:sig w:usb0="A00002BF" w:usb1="38CF7CFA" w:usb2="00082016" w:usb3="00000000" w:csb0="00040001" w:csb1="00000000"/>
    <w:embedRegular r:id="rId3" w:fontKey="{9479AF66-9560-4276-8643-031276E52167}"/>
  </w:font>
  <w:font w:name="仿宋_GB2312">
    <w:panose1 w:val="02010609030101010101"/>
    <w:charset w:val="86"/>
    <w:family w:val="modern"/>
    <w:pitch w:val="default"/>
    <w:sig w:usb0="00000001" w:usb1="080E0000" w:usb2="00000000" w:usb3="00000000" w:csb0="00040000" w:csb1="00000000"/>
    <w:embedRegular r:id="rId4" w:fontKey="{F6A05767-8A8D-4053-8427-0CA8D3BF3187}"/>
  </w:font>
  <w:font w:name="FangSong_GB2312">
    <w:altName w:val="仿宋_GB2312"/>
    <w:panose1 w:val="00000000000000000000"/>
    <w:charset w:val="86"/>
    <w:family w:val="auto"/>
    <w:pitch w:val="default"/>
    <w:sig w:usb0="00000000" w:usb1="00000000" w:usb2="00000000" w:usb3="00000000" w:csb0="00040000" w:csb1="00000000"/>
    <w:embedRegular r:id="rId5" w:fontKey="{E4EF888E-70DB-4A74-9A43-EF61300B99E1}"/>
  </w:font>
  <w:font w:name="楷体_GB2312">
    <w:panose1 w:val="02010609030101010101"/>
    <w:charset w:val="86"/>
    <w:family w:val="modern"/>
    <w:pitch w:val="default"/>
    <w:sig w:usb0="00000001" w:usb1="080E0000" w:usb2="00000000" w:usb3="00000000" w:csb0="00040000" w:csb1="00000000"/>
    <w:embedRegular r:id="rId6" w:fontKey="{36762420-87E1-417C-AC9B-950B362E32F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6E55CAC"/>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6D641AB"/>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6EC5C3C"/>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2024-03-18T08:56:18Z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