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lang w:val="en-US" w:eastAsia="zh-CN"/>
        </w:rPr>
        <w:t>商业秘密保护试点项目</w:t>
      </w: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（五）</w:t>
      </w:r>
      <w:r>
        <w:rPr>
          <w:rFonts w:hint="eastAsia" w:ascii="Times New Roman" w:hAnsi="Times New Roman" w:eastAsia="仿宋_GB2312" w:cs="Times New Roman"/>
          <w:sz w:val="32"/>
          <w:szCs w:val="32"/>
          <w:highlight w:val="none"/>
          <w:lang w:eastAsia="zh-CN"/>
        </w:rPr>
        <w:t>成立</w:t>
      </w:r>
      <w:r>
        <w:rPr>
          <w:rFonts w:hint="eastAsia" w:ascii="Times New Roman" w:hAnsi="Times New Roman" w:eastAsia="仿宋_GB2312" w:cs="Times New Roman"/>
          <w:sz w:val="32"/>
          <w:szCs w:val="32"/>
          <w:highlight w:val="none"/>
          <w:lang w:val="en-US" w:eastAsia="zh-CN"/>
        </w:rPr>
        <w:t>2</w:t>
      </w:r>
      <w:r>
        <w:rPr>
          <w:rFonts w:hint="eastAsia" w:ascii="Times New Roman" w:hAnsi="Times New Roman" w:eastAsia="仿宋_GB2312" w:cs="Times New Roman"/>
          <w:sz w:val="32"/>
          <w:szCs w:val="32"/>
          <w:highlight w:val="none"/>
          <w:lang w:eastAsia="zh-CN"/>
        </w:rPr>
        <w:t>年以上且在光明区连续运营一年以上。</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（六）</w:t>
      </w:r>
      <w:r>
        <w:rPr>
          <w:rFonts w:hint="eastAsia" w:ascii="Times New Roman" w:hAnsi="Times New Roman" w:eastAsia="仿宋_GB2312" w:cs="Times New Roman"/>
          <w:sz w:val="32"/>
          <w:szCs w:val="32"/>
          <w:highlight w:val="none"/>
          <w:lang w:eastAsia="zh-CN"/>
        </w:rPr>
        <w:t>申请单位</w:t>
      </w:r>
      <w:r>
        <w:rPr>
          <w:rFonts w:hint="eastAsia" w:ascii="Times New Roman" w:hAnsi="Times New Roman" w:eastAsia="仿宋_GB2312" w:cs="Times New Roman"/>
          <w:sz w:val="32"/>
          <w:szCs w:val="32"/>
          <w:highlight w:val="none"/>
          <w:lang w:val="en-US" w:eastAsia="zh-CN"/>
        </w:rPr>
        <w:t>经营状况良好，</w:t>
      </w:r>
      <w:r>
        <w:rPr>
          <w:rFonts w:hint="eastAsia" w:ascii="Times New Roman" w:hAnsi="Times New Roman" w:eastAsia="仿宋_GB2312" w:cs="Times New Roman"/>
          <w:sz w:val="32"/>
          <w:szCs w:val="32"/>
          <w:highlight w:val="none"/>
          <w:lang w:eastAsia="zh-CN"/>
        </w:rPr>
        <w:t>在行业内有一定领先优势。园区运营能力、知识产权服务能力较强，科研机构或企业创新能力较强，产品或技术拥有核心竞争力。</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（七）</w:t>
      </w:r>
      <w:r>
        <w:rPr>
          <w:rFonts w:hint="eastAsia" w:ascii="Times New Roman" w:hAnsi="Times New Roman" w:eastAsia="仿宋_GB2312" w:cs="Times New Roman"/>
          <w:sz w:val="32"/>
          <w:szCs w:val="32"/>
          <w:highlight w:val="none"/>
          <w:lang w:eastAsia="zh-CN"/>
        </w:rPr>
        <w:t>配备了知识产权专职人员，建立较完善的知识产权管理制度及信息安全保护措施。</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ascii="仿宋_GB2312" w:eastAsia="仿宋_GB2312" w:cs="宋体"/>
          <w:kern w:val="2"/>
          <w:sz w:val="32"/>
          <w:szCs w:val="32"/>
          <w:highlight w:val="none"/>
          <w:lang w:eastAsia="zh-CN"/>
        </w:rPr>
        <w:t>（八）</w:t>
      </w:r>
      <w:r>
        <w:rPr>
          <w:rFonts w:hint="eastAsia" w:ascii="Times New Roman" w:hAnsi="Times New Roman" w:eastAsia="仿宋_GB2312" w:cs="Times New Roman"/>
          <w:sz w:val="32"/>
          <w:szCs w:val="32"/>
          <w:highlight w:val="none"/>
          <w:lang w:val="en-US" w:eastAsia="zh-CN"/>
        </w:rPr>
        <w:t>积极</w:t>
      </w:r>
      <w:r>
        <w:rPr>
          <w:rFonts w:hint="eastAsia" w:ascii="Times New Roman" w:hAnsi="Times New Roman" w:eastAsia="仿宋_GB2312" w:cs="Times New Roman"/>
          <w:sz w:val="32"/>
          <w:szCs w:val="32"/>
          <w:highlight w:val="none"/>
          <w:lang w:eastAsia="zh-CN"/>
        </w:rPr>
        <w:t>开展商业秘密保护及管理规范相关标准落地实施工作并取得较好成效。</w:t>
      </w:r>
    </w:p>
    <w:p>
      <w:pPr>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（九）</w:t>
      </w:r>
      <w:r>
        <w:rPr>
          <w:rFonts w:hint="eastAsia" w:ascii="Times New Roman" w:hAnsi="Times New Roman" w:eastAsia="仿宋_GB2312" w:cs="Times New Roman"/>
          <w:sz w:val="32"/>
          <w:szCs w:val="32"/>
          <w:highlight w:val="none"/>
          <w:lang w:eastAsia="zh-CN"/>
        </w:rPr>
        <w:t>同意持续向社会公众分享商业秘密保护工作有关经验做法及维权案例。</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（六）园区内代表性企业、科研机构或企业近两年知识产权台账，专利运用情况台账及相关介绍。专利运用情况包括但不限于专利转让、开放许可、质押融资等。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（七）知识产权团队架构、专职人员、专业人才信息，如：组织架构图、人员名册、聘用关系证明（如：纳税证明、劳动合同、社保缴纳证明）、人员资质证书（如：专利代理师、律师等）、职称证书等。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（八）知识产权管理制度及信息安全保护措施证明材料。</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1.对于园区申报主体：</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（1）知识产权管理制度方面。包括但不限于：入驻单位咨询服务管理制度、宣传培训管理制度、第三方服务机构和专家管理制度、入驻单位信息保密制度等。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（2）信息安全保护措施。包括但不限于：信息安全保护组织架构和运行机制、信息安全管理职责、信息安全保护宣传培训制度、引进信息安全保护相关产品（且能够为入驻单位提供服务）等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2.对于科研机构或企业申报主体：</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知识产权管理制度方面。包括但不限于：建立职责清晰明确的知识产权管理组织架构和运行机制、制定科研机构或企业商业秘密管理制度、专门保密管理制度、商业秘密管理奖惩及绩效、部门级管理细则等、能够提供工作台账、检查记录等佐证材料、建立了商业秘密保护培训制度。</w:t>
      </w:r>
    </w:p>
    <w:p>
      <w:pPr>
        <w:spacing w:line="560" w:lineRule="exact"/>
        <w:ind w:firstLine="640" w:firstLineChars="200"/>
        <w:rPr>
          <w:rFonts w:hint="eastAsia" w:ascii="仿宋_GB2312" w:hAnsi="仿宋_GB2312" w:eastAsia="仿宋_GB2312" w:cs="仿宋_GB2312"/>
          <w:color w:val="000000"/>
          <w:kern w:val="0"/>
          <w:szCs w:val="21"/>
          <w:lang w:val="en-US" w:eastAsia="zh-CN" w:bidi="ar"/>
        </w:rPr>
      </w:pPr>
      <w:r>
        <w:rPr>
          <w:rFonts w:hint="eastAsia" w:eastAsia="仿宋_GB2312" w:cs="Times New Roman"/>
          <w:sz w:val="32"/>
          <w:szCs w:val="32"/>
          <w:highlight w:val="none"/>
          <w:lang w:val="en-US" w:eastAsia="zh-CN"/>
        </w:rPr>
        <w:t>（2）信息安全保护措施。包括但不限于：确定商业秘密信息识别与分级制度、明确商业秘密信息保密要求、建立信息系统及软件管理制度、引进信息安全保护相关产品等。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（九）商业秘密保护工作成效证明材料。如：商业秘密保护及管理规范相关标准落地实施工作开展情况及相关成效等。</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1.对于园区申报主体：</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证明材料包括但不限于：为入驻单位提供商业秘密保护服务资源配备情况、商业秘密保护信息收集与风险监控情况、商业秘密保护宣传普及情况、商业秘密维权支持服务情况、商业秘密工作评估与改进情况。</w:t>
      </w:r>
    </w:p>
    <w:p>
      <w:pPr>
        <w:spacing w:line="560" w:lineRule="exact"/>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2.对于科研机构或企业申报主体：</w:t>
      </w:r>
    </w:p>
    <w:p>
      <w:pPr>
        <w:pStyle w:val="2"/>
        <w:ind w:firstLine="640" w:firstLineChars="20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证明材料包括但不限于：涉密人员与外部人员管理情况、商业秘密保护区域管理情况、涉密设备及物品管理情况、商业秘密管理制度评估与改进情况、商业秘密泄露事件管理情况。</w:t>
      </w:r>
    </w:p>
    <w:p>
      <w:pPr>
        <w:spacing w:line="560" w:lineRule="exact"/>
        <w:ind w:firstLine="640" w:firstLineChars="20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（十）</w:t>
      </w:r>
      <w:r>
        <w:rPr>
          <w:rFonts w:hint="eastAsia" w:ascii="Times New Roman" w:hAnsi="Times New Roman" w:eastAsia="仿宋_GB2312" w:cs="Times New Roman"/>
          <w:sz w:val="32"/>
          <w:szCs w:val="32"/>
          <w:highlight w:val="none"/>
          <w:lang w:eastAsia="zh-CN"/>
        </w:rPr>
        <w:t>同意持续向社会公众分享商业秘密保护工作有关经验做法承诺书。</w:t>
      </w:r>
    </w:p>
    <w:p>
      <w:pPr>
        <w:spacing w:line="560" w:lineRule="exact"/>
        <w:ind w:firstLine="640" w:firstLineChars="200"/>
        <w:rPr>
          <w:rFonts w:hint="eastAsia"/>
        </w:rPr>
      </w:pPr>
      <w:r>
        <w:rPr>
          <w:rFonts w:hint="eastAsia" w:eastAsia="仿宋_GB2312" w:cs="Times New Roman"/>
          <w:sz w:val="32"/>
          <w:szCs w:val="32"/>
          <w:highlight w:val="none"/>
          <w:lang w:val="en-US" w:eastAsia="zh-CN"/>
        </w:rPr>
        <w:t>（十一）</w:t>
      </w:r>
      <w:r>
        <w:rPr>
          <w:rFonts w:hint="eastAsia" w:ascii="Times New Roman" w:hAnsi="Times New Roman" w:eastAsia="仿宋_GB2312" w:cs="Times New Roman"/>
          <w:sz w:val="32"/>
          <w:szCs w:val="32"/>
          <w:highlight w:val="none"/>
          <w:lang w:val="en-US" w:eastAsia="zh-CN"/>
        </w:rPr>
        <w:t>经营状况良好证明材料。如：近两年</w:t>
      </w:r>
      <w:r>
        <w:rPr>
          <w:rFonts w:hint="eastAsia" w:ascii="Times New Roman" w:hAnsi="Times New Roman" w:eastAsia="仿宋_GB2312" w:cs="Times New Roman"/>
          <w:sz w:val="32"/>
          <w:szCs w:val="32"/>
          <w:highlight w:val="none"/>
          <w:lang w:eastAsia="zh-CN"/>
        </w:rPr>
        <w:t>财务审计报告或财务报表等</w:t>
      </w:r>
      <w:r>
        <w:rPr>
          <w:rFonts w:hint="eastAsia" w:ascii="Times New Roman" w:hAnsi="Times New Roman" w:eastAsia="仿宋_GB2312" w:cs="Times New Roman"/>
          <w:sz w:val="32"/>
          <w:szCs w:val="32"/>
          <w:highlight w:val="none"/>
          <w:lang w:val="en-US"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0ADEA92-46BB-4A98-B567-766529616E5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A68AABCF-47BF-4B67-9BA5-BC62E0FFD841}"/>
  </w:font>
  <w:font w:name="方正小标宋_GBK">
    <w:panose1 w:val="02000000000000000000"/>
    <w:charset w:val="86"/>
    <w:family w:val="script"/>
    <w:pitch w:val="default"/>
    <w:sig w:usb0="A00002BF" w:usb1="38CF7CFA" w:usb2="00082016" w:usb3="00000000" w:csb0="00040001" w:csb1="00000000"/>
    <w:embedRegular r:id="rId3" w:fontKey="{C3897C59-7C5F-4A86-B3EA-0A1ADE07AB84}"/>
  </w:font>
  <w:font w:name="仿宋_GB2312">
    <w:panose1 w:val="02010609030101010101"/>
    <w:charset w:val="86"/>
    <w:family w:val="modern"/>
    <w:pitch w:val="default"/>
    <w:sig w:usb0="00000001" w:usb1="080E0000" w:usb2="00000000" w:usb3="00000000" w:csb0="00040000" w:csb1="00000000"/>
    <w:embedRegular r:id="rId4" w:fontKey="{B447C454-E556-414A-ADA5-72EFA02595C9}"/>
  </w:font>
  <w:font w:name="FangSong_GB2312">
    <w:altName w:val="仿宋_GB2312"/>
    <w:panose1 w:val="00000000000000000000"/>
    <w:charset w:val="86"/>
    <w:family w:val="auto"/>
    <w:pitch w:val="default"/>
    <w:sig w:usb0="00000000" w:usb1="00000000" w:usb2="00000000" w:usb3="00000000" w:csb0="00040000" w:csb1="00000000"/>
    <w:embedRegular r:id="rId5" w:fontKey="{4CBFB6BE-70FB-44CE-8184-107CE216290B}"/>
  </w:font>
  <w:font w:name="楷体_GB2312">
    <w:panose1 w:val="02010609030101010101"/>
    <w:charset w:val="86"/>
    <w:family w:val="modern"/>
    <w:pitch w:val="default"/>
    <w:sig w:usb0="00000001" w:usb1="080E0000" w:usb2="00000000" w:usb3="00000000" w:csb0="00040000" w:csb1="00000000"/>
    <w:embedRegular r:id="rId6" w:fontKey="{741DA62D-FDEE-42C6-94DD-304A191B23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5B03E8C"/>
    <w:rsid w:val="07243DBF"/>
    <w:rsid w:val="0ABF004E"/>
    <w:rsid w:val="0AF84D17"/>
    <w:rsid w:val="0B1C59AB"/>
    <w:rsid w:val="0B5147E1"/>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BB31D32"/>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0D5116"/>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AD50F16"/>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45A09"/>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8EE671C"/>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1F04B0"/>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2024-03-18T08:56:03Z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