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知识产权运营中心</w:t>
      </w:r>
      <w:r>
        <w:rPr>
          <w:rFonts w:hint="eastAsia" w:ascii="方正小标宋_GBK" w:hAnsi="方正小标宋_GBK" w:eastAsia="方正小标宋_GBK"/>
          <w:sz w:val="44"/>
          <w:szCs w:val="44"/>
          <w:lang w:eastAsia="zh-CN"/>
        </w:rPr>
        <w:t>项目</w:t>
      </w:r>
      <w:r>
        <w:rPr>
          <w:rFonts w:hint="eastAsia" w:ascii="方正小标宋_GBK" w:hAnsi="方正小标宋_GBK" w:eastAsia="方正小标宋_GBK"/>
          <w:sz w:val="44"/>
          <w:szCs w:val="44"/>
        </w:rPr>
        <w:t>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kinsoku/>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eastAsia="仿宋_GB2312" w:cs="宋体"/>
          <w:kern w:val="2"/>
          <w:sz w:val="32"/>
          <w:szCs w:val="32"/>
          <w:highlight w:val="none"/>
          <w:lang w:eastAsia="zh-CN"/>
        </w:rPr>
        <w:t>（五）</w:t>
      </w:r>
      <w:r>
        <w:rPr>
          <w:rFonts w:hint="eastAsia" w:ascii="仿宋_GB2312" w:hAnsi="楷体_GB2312" w:eastAsia="仿宋_GB2312" w:cs="楷体_GB2312"/>
          <w:sz w:val="32"/>
          <w:szCs w:val="32"/>
          <w:highlight w:val="none"/>
        </w:rPr>
        <w:t>上一年获得国家、省、市批复或授牌的单位，知识产权运营中心已正式运营，有稳定的工作场所，配备管理团队，工作机制完备。</w:t>
      </w:r>
    </w:p>
    <w:p>
      <w:pPr>
        <w:kinsoku/>
        <w:overflowPunct w:val="0"/>
        <w:autoSpaceDE w:val="0"/>
        <w:autoSpaceDN w:val="0"/>
        <w:spacing w:line="560" w:lineRule="exact"/>
        <w:ind w:firstLine="640" w:firstLineChars="200"/>
        <w:rPr>
          <w:rFonts w:hint="eastAsia"/>
          <w:lang w:eastAsia="zh-CN"/>
        </w:rPr>
      </w:pPr>
      <w:r>
        <w:rPr>
          <w:rFonts w:hint="eastAsia" w:ascii="仿宋_GB2312" w:eastAsia="仿宋_GB2312" w:cs="宋体"/>
          <w:kern w:val="2"/>
          <w:sz w:val="32"/>
          <w:szCs w:val="32"/>
          <w:highlight w:val="none"/>
          <w:lang w:eastAsia="zh-CN"/>
        </w:rPr>
        <w:t>（六）</w:t>
      </w:r>
      <w:r>
        <w:rPr>
          <w:rFonts w:hint="eastAsia" w:ascii="仿宋_GB2312" w:hAnsi="楷体_GB2312" w:eastAsia="仿宋_GB2312" w:cs="楷体_GB2312"/>
          <w:sz w:val="32"/>
          <w:szCs w:val="32"/>
          <w:highlight w:val="none"/>
        </w:rPr>
        <w:t>同一年度同一申请单位，不可同时申请本条与专利导航项目、产业知识产权联盟项目、知识产权保护工作站项目。</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申请书，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kinsoku/>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六</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获批成立国家、省、市知识产权运营中心的有关文件。</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七</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知识产权运营中心的相关情况介绍。</w:t>
      </w:r>
    </w:p>
    <w:p>
      <w:pPr>
        <w:widowControl/>
        <w:snapToGrid w:val="0"/>
        <w:spacing w:line="560" w:lineRule="exact"/>
        <w:ind w:firstLine="640" w:firstLineChars="200"/>
        <w:rPr>
          <w:rFonts w:eastAsia="仿宋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八</w:t>
      </w:r>
      <w:r>
        <w:rPr>
          <w:rFonts w:hint="eastAsia" w:ascii="仿宋_GB2312" w:hAnsi="楷体_GB2312" w:eastAsia="仿宋_GB2312" w:cs="楷体_GB2312"/>
          <w:sz w:val="32"/>
          <w:szCs w:val="32"/>
        </w:rPr>
        <w:t>）</w:t>
      </w:r>
      <w:r>
        <w:rPr>
          <w:rFonts w:hint="eastAsia" w:eastAsia="仿宋_GB2312"/>
          <w:sz w:val="32"/>
          <w:szCs w:val="32"/>
          <w:highlight w:val="none"/>
        </w:rPr>
        <w:t>知识产权运营中心工作机制文件。</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九</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知识产权运营中心办公场地情况、租赁合同或房产证明。</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十</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知识产权运营中心管理团队、专业人才信息，如：人员名册、聘用关系证明（如纳税证明、劳动合同、社保缴纳证明）、人员资质证书、职称证书等。</w:t>
      </w:r>
    </w:p>
    <w:p>
      <w:pPr>
        <w:spacing w:line="560" w:lineRule="exact"/>
        <w:ind w:firstLine="645"/>
        <w:jc w:val="left"/>
        <w:rPr>
          <w:rFonts w:hint="eastAsia" w:ascii="仿宋_GB2312" w:hAnsi="仿宋_GB2312" w:eastAsia="仿宋_GB2312" w:cs="仿宋_GB2312"/>
          <w:color w:val="000000"/>
          <w:kern w:val="0"/>
          <w:sz w:val="32"/>
          <w:szCs w:val="32"/>
          <w:highlight w:val="none"/>
          <w:lang w:val="en-US" w:eastAsia="zh-CN"/>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十一</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知识产权运营中心年度工作报告，内容包括但不限于资源投入、</w:t>
      </w:r>
      <w:r>
        <w:rPr>
          <w:rFonts w:hint="eastAsia" w:ascii="仿宋_GB2312" w:hAnsi="楷体_GB2312" w:eastAsia="仿宋_GB2312" w:cs="楷体_GB2312"/>
          <w:sz w:val="32"/>
          <w:szCs w:val="32"/>
          <w:highlight w:val="none"/>
          <w:lang w:eastAsia="zh-CN"/>
        </w:rPr>
        <w:t>制度</w:t>
      </w:r>
      <w:r>
        <w:rPr>
          <w:rFonts w:hint="eastAsia" w:ascii="仿宋_GB2312" w:hAnsi="楷体_GB2312" w:eastAsia="仿宋_GB2312" w:cs="楷体_GB2312"/>
          <w:sz w:val="32"/>
          <w:szCs w:val="32"/>
          <w:highlight w:val="none"/>
        </w:rPr>
        <w:t>建设、工作成效（如</w:t>
      </w:r>
      <w:r>
        <w:rPr>
          <w:rFonts w:hint="eastAsia" w:ascii="仿宋_GB2312" w:hAnsi="楷体_GB2312" w:eastAsia="仿宋_GB2312" w:cs="楷体_GB2312"/>
          <w:sz w:val="32"/>
          <w:szCs w:val="32"/>
          <w:highlight w:val="none"/>
          <w:lang w:eastAsia="zh-CN"/>
        </w:rPr>
        <w:t>：</w:t>
      </w:r>
      <w:r>
        <w:rPr>
          <w:rFonts w:hint="eastAsia" w:ascii="仿宋_GB2312" w:hAnsi="楷体_GB2312" w:eastAsia="仿宋_GB2312" w:cs="楷体_GB2312"/>
          <w:sz w:val="32"/>
          <w:szCs w:val="32"/>
          <w:highlight w:val="none"/>
        </w:rPr>
        <w:t>服务对象的类型、服务内容、服务成效、开展宣传培训服务情况等）。</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2023</w:t>
      </w:r>
      <w:bookmarkStart w:id="0" w:name="_GoBack"/>
      <w:bookmarkEnd w:id="0"/>
      <w:r>
        <w:rPr>
          <w:rFonts w:hint="eastAsia" w:ascii="仿宋_GB2312" w:hAnsi="Calibri" w:eastAsia="仿宋_GB2312" w:cs="Times New Roman"/>
          <w:b/>
          <w:bCs/>
          <w:sz w:val="32"/>
          <w:szCs w:val="32"/>
          <w:highlight w:val="none"/>
          <w:lang w:val="en-US" w:eastAsia="zh-CN"/>
        </w:rPr>
        <w:t>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468769A-2056-4737-AFAF-A20383E9FEA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7ECCD361-6FBE-49BF-890C-A35EC4F7A5C1}"/>
  </w:font>
  <w:font w:name="方正小标宋_GBK">
    <w:panose1 w:val="02000000000000000000"/>
    <w:charset w:val="86"/>
    <w:family w:val="script"/>
    <w:pitch w:val="default"/>
    <w:sig w:usb0="A00002BF" w:usb1="38CF7CFA" w:usb2="00082016" w:usb3="00000000" w:csb0="00040001" w:csb1="00000000"/>
    <w:embedRegular r:id="rId3" w:fontKey="{736EE463-26BD-4764-8126-24FF65D81FE4}"/>
  </w:font>
  <w:font w:name="仿宋_GB2312">
    <w:panose1 w:val="02010609030101010101"/>
    <w:charset w:val="86"/>
    <w:family w:val="modern"/>
    <w:pitch w:val="default"/>
    <w:sig w:usb0="00000001" w:usb1="080E0000" w:usb2="00000000" w:usb3="00000000" w:csb0="00040000" w:csb1="00000000"/>
    <w:embedRegular r:id="rId4" w:fontKey="{AD11D17C-5A8A-4400-9A24-CF19F467C3FD}"/>
  </w:font>
  <w:font w:name="FangSong_GB2312">
    <w:altName w:val="仿宋_GB2312"/>
    <w:panose1 w:val="00000000000000000000"/>
    <w:charset w:val="86"/>
    <w:family w:val="auto"/>
    <w:pitch w:val="default"/>
    <w:sig w:usb0="00000000" w:usb1="00000000" w:usb2="00000000" w:usb3="00000000" w:csb0="00040000" w:csb1="00000000"/>
    <w:embedRegular r:id="rId5" w:fontKey="{C24432BB-A37B-4EB4-AD83-265025E5A3AE}"/>
  </w:font>
  <w:font w:name="楷体_GB2312">
    <w:panose1 w:val="02010609030101010101"/>
    <w:charset w:val="86"/>
    <w:family w:val="modern"/>
    <w:pitch w:val="default"/>
    <w:sig w:usb0="00000001" w:usb1="080E0000" w:usb2="00000000" w:usb3="00000000" w:csb0="00040000" w:csb1="00000000"/>
    <w:embedRegular r:id="rId6" w:fontKey="{8F36ED71-BDAB-445B-8373-9CD67303E9E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B70E1"/>
    <w:rsid w:val="370229E4"/>
    <w:rsid w:val="375647F4"/>
    <w:rsid w:val="38DD3F57"/>
    <w:rsid w:val="39BA7DF4"/>
    <w:rsid w:val="39F5772D"/>
    <w:rsid w:val="3AC30F2B"/>
    <w:rsid w:val="3AFB388B"/>
    <w:rsid w:val="3C83436B"/>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5F5246"/>
    <w:rsid w:val="568E6619"/>
    <w:rsid w:val="56D4712F"/>
    <w:rsid w:val="57487A8C"/>
    <w:rsid w:val="57CC0FC7"/>
    <w:rsid w:val="580C13CB"/>
    <w:rsid w:val="59957B52"/>
    <w:rsid w:val="59A029E0"/>
    <w:rsid w:val="59B85CA7"/>
    <w:rsid w:val="59C06B4D"/>
    <w:rsid w:val="5A9C1B08"/>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3111</Words>
  <Characters>3264</Characters>
  <Lines>63</Lines>
  <Paragraphs>17</Paragraphs>
  <TotalTime>1</TotalTime>
  <ScaleCrop>false</ScaleCrop>
  <LinksUpToDate>false</LinksUpToDate>
  <CharactersWithSpaces>3272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2021-05-24T00:16:00Z</dcterms:created>
  <dc:creator>740095076@qq.com</dc:creator>
  <cp:lastModifiedBy>陈建</cp:lastModifiedBy>
  <cp:lastPrinted>2022-10-10T17:54:00Z</cp:lastPrinted>
  <dcterms:modified xsi:type="dcterms:W3CDTF">2024-03-18T08:52:35Z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B0407ACE618A4D0E9A74B56F698D7A6A</vt:lpwstr>
  </property>
</Properties>
</file>