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知识产权质押融资项目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snapToGrid w:val="0"/>
        <w:spacing w:line="560" w:lineRule="exact"/>
        <w:ind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pacing w:val="-6"/>
          <w:sz w:val="32"/>
          <w:szCs w:val="32"/>
          <w:highlight w:val="none"/>
          <w:lang w:val="en-US" w:eastAsia="zh-CN"/>
        </w:rPr>
        <w:t>申请单位通过知识产权（专利、商标、版权）质押方式申请银行贷款，并在上一年还清贷款本息。</w:t>
      </w:r>
    </w:p>
    <w:p>
      <w:pPr>
        <w:widowControl/>
        <w:snapToGrid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pacing w:val="-6"/>
          <w:sz w:val="32"/>
          <w:szCs w:val="32"/>
          <w:highlight w:val="none"/>
          <w:lang w:val="en-US" w:eastAsia="zh-CN"/>
        </w:rPr>
        <w:t>以组合贷款方式进行融资的，只计算知识产权质押融资贷款部分，组合贷款中无法计算知识产权质押融资金额的，不予资助。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numPr>
          <w:ilvl w:val="0"/>
          <w:numId w:val="0"/>
        </w:numPr>
        <w:kinsoku/>
        <w:overflowPunct/>
        <w:autoSpaceDE/>
        <w:autoSpaceDN/>
        <w:snapToGrid w:val="0"/>
        <w:spacing w:line="560" w:lineRule="exact"/>
        <w:ind w:leftChars="0" w:firstLine="640" w:firstLineChars="200"/>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质押合同、知识产权质押证明（如质权登记证书、质押登记通知书等）。</w:t>
      </w:r>
    </w:p>
    <w:p>
      <w:pPr>
        <w:widowControl/>
        <w:snapToGrid w:val="0"/>
        <w:spacing w:line="560" w:lineRule="exact"/>
        <w:ind w:firstLine="640" w:firstLineChars="200"/>
        <w:jc w:val="left"/>
        <w:rPr>
          <w:rFonts w:hint="eastAsia" w:ascii="Times New Roman" w:hAnsi="Times New Roman" w:eastAsia="仿宋_GB2312" w:cs="Times New Roman"/>
          <w:spacing w:val="-6"/>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Times New Roman" w:hAnsi="Times New Roman" w:eastAsia="仿宋_GB2312" w:cs="Times New Roman"/>
          <w:spacing w:val="-6"/>
          <w:sz w:val="32"/>
          <w:szCs w:val="32"/>
          <w:highlight w:val="none"/>
          <w:lang w:val="en-US" w:eastAsia="zh-CN"/>
        </w:rPr>
        <w:t>银行出具的贷款合同、放款凭证、已完成还款付息的凭证（如银行出具的贷款付息凭证等）、实际支付利息清单的情况说明等证明材料。如涉及担保、评估还需提供</w:t>
      </w:r>
      <w:r>
        <w:rPr>
          <w:rFonts w:hint="eastAsia" w:ascii="Times New Roman" w:hAnsi="Times New Roman" w:eastAsia="仿宋_GB2312" w:cs="Times New Roman"/>
          <w:spacing w:val="-6"/>
          <w:sz w:val="32"/>
          <w:szCs w:val="32"/>
          <w:highlight w:val="none"/>
          <w:lang w:eastAsia="zh-CN"/>
        </w:rPr>
        <w:t>担保（或</w:t>
      </w:r>
      <w:r>
        <w:rPr>
          <w:rFonts w:hint="eastAsia" w:ascii="Times New Roman" w:hAnsi="Times New Roman" w:eastAsia="仿宋_GB2312" w:cs="Times New Roman"/>
          <w:spacing w:val="-6"/>
          <w:sz w:val="32"/>
          <w:szCs w:val="32"/>
          <w:highlight w:val="none"/>
        </w:rPr>
        <w:t>反担保</w:t>
      </w:r>
      <w:r>
        <w:rPr>
          <w:rFonts w:hint="eastAsia" w:ascii="Times New Roman" w:hAnsi="Times New Roman" w:eastAsia="仿宋_GB2312" w:cs="Times New Roman"/>
          <w:spacing w:val="-6"/>
          <w:sz w:val="32"/>
          <w:szCs w:val="32"/>
          <w:highlight w:val="none"/>
          <w:lang w:eastAsia="zh-CN"/>
        </w:rPr>
        <w:t>）</w:t>
      </w:r>
      <w:r>
        <w:rPr>
          <w:rFonts w:hint="eastAsia" w:ascii="Times New Roman" w:hAnsi="Times New Roman" w:eastAsia="仿宋_GB2312" w:cs="Times New Roman"/>
          <w:spacing w:val="-6"/>
          <w:sz w:val="32"/>
          <w:szCs w:val="32"/>
          <w:highlight w:val="none"/>
        </w:rPr>
        <w:t>合同</w:t>
      </w:r>
      <w:r>
        <w:rPr>
          <w:rFonts w:hint="eastAsia" w:ascii="Times New Roman" w:hAnsi="Times New Roman" w:eastAsia="仿宋_GB2312" w:cs="Times New Roman"/>
          <w:spacing w:val="-6"/>
          <w:sz w:val="32"/>
          <w:szCs w:val="32"/>
          <w:highlight w:val="none"/>
          <w:lang w:eastAsia="zh-CN"/>
        </w:rPr>
        <w:t>、资产</w:t>
      </w:r>
      <w:r>
        <w:rPr>
          <w:rFonts w:hint="eastAsia" w:ascii="Times New Roman" w:hAnsi="Times New Roman" w:eastAsia="仿宋_GB2312" w:cs="Times New Roman"/>
          <w:spacing w:val="-6"/>
          <w:sz w:val="32"/>
          <w:szCs w:val="32"/>
          <w:highlight w:val="none"/>
          <w:lang w:val="en-US" w:eastAsia="zh-CN"/>
        </w:rPr>
        <w:t>评估合同。</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AF55DEE-22C2-4EF1-92C1-76AD8E199CE7}"/>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581C9A3-A61A-4809-9498-F1F7D47443B9}"/>
  </w:font>
  <w:font w:name="方正小标宋_GBK">
    <w:panose1 w:val="02000000000000000000"/>
    <w:charset w:val="86"/>
    <w:family w:val="script"/>
    <w:pitch w:val="default"/>
    <w:sig w:usb0="A00002BF" w:usb1="38CF7CFA" w:usb2="00082016" w:usb3="00000000" w:csb0="00040001" w:csb1="00000000"/>
    <w:embedRegular r:id="rId3" w:fontKey="{88399BFB-A50D-4B72-89E3-44F0869CC434}"/>
  </w:font>
  <w:font w:name="仿宋_GB2312">
    <w:panose1 w:val="02010609030101010101"/>
    <w:charset w:val="86"/>
    <w:family w:val="modern"/>
    <w:pitch w:val="default"/>
    <w:sig w:usb0="00000001" w:usb1="080E0000" w:usb2="00000000" w:usb3="00000000" w:csb0="00040000" w:csb1="00000000"/>
    <w:embedRegular r:id="rId4" w:fontKey="{ECA3F421-B705-4A15-B885-A144E1F03716}"/>
  </w:font>
  <w:font w:name="FangSong_GB2312">
    <w:altName w:val="仿宋_GB2312"/>
    <w:panose1 w:val="00000000000000000000"/>
    <w:charset w:val="86"/>
    <w:family w:val="auto"/>
    <w:pitch w:val="default"/>
    <w:sig w:usb0="00000000" w:usb1="00000000" w:usb2="00000000" w:usb3="00000000" w:csb0="00040000" w:csb1="00000000"/>
    <w:embedRegular r:id="rId5" w:fontKey="{57B65E14-74C5-4C5E-9A5E-ABE6E866976B}"/>
  </w:font>
  <w:font w:name="楷体_GB2312">
    <w:panose1 w:val="02010609030101010101"/>
    <w:charset w:val="86"/>
    <w:family w:val="modern"/>
    <w:pitch w:val="default"/>
    <w:sig w:usb0="00000001" w:usb1="080E0000" w:usb2="00000000" w:usb3="00000000" w:csb0="00040000" w:csb1="00000000"/>
    <w:embedRegular r:id="rId6" w:fontKey="{B734FE8F-DD0B-4683-AF85-2FCB7EF129D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36B8B"/>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561BC4"/>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2024-03-18T08:53:07Z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