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产业知识产权联盟项目申报指南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FangSong_GB2312" w:hAnsi="FangSong_GB2312" w:eastAsia="FangSong_GB2312"/>
          <w:sz w:val="32"/>
          <w:szCs w:val="32"/>
          <w:highlight w:val="none"/>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（五）</w:t>
      </w:r>
      <w:r>
        <w:rPr>
          <w:rFonts w:hint="eastAsia" w:ascii="仿宋_GB2312" w:hAnsi="楷体_GB2312" w:eastAsia="仿宋_GB2312" w:cs="楷体_GB2312"/>
          <w:sz w:val="32"/>
          <w:szCs w:val="32"/>
          <w:highlight w:val="none"/>
        </w:rPr>
        <w:t>本项目应由联盟的秘书单位或发起企业提出申请</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（六）</w:t>
      </w:r>
      <w:r>
        <w:rPr>
          <w:rFonts w:hint="eastAsia" w:ascii="仿宋_GB2312" w:hAnsi="楷体_GB2312" w:eastAsia="仿宋_GB2312" w:cs="楷体_GB2312"/>
          <w:sz w:val="32"/>
          <w:szCs w:val="32"/>
          <w:highlight w:val="none"/>
        </w:rPr>
        <w:t>联盟所属产业符合光明区及以上政府重点规划支持的产业</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highlight w:val="none"/>
          <w:lang w:eastAsia="zh-CN"/>
        </w:rPr>
      </w:pPr>
      <w:r>
        <w:rPr>
          <w:rFonts w:hint="eastAsia" w:ascii="仿宋_GB2312" w:eastAsia="仿宋_GB2312" w:cs="宋体"/>
          <w:kern w:val="2"/>
          <w:sz w:val="32"/>
          <w:szCs w:val="32"/>
          <w:highlight w:val="none"/>
          <w:lang w:eastAsia="zh-CN"/>
        </w:rPr>
        <w:t>（七）</w:t>
      </w:r>
      <w:r>
        <w:rPr>
          <w:rFonts w:hint="eastAsia" w:ascii="仿宋_GB2312" w:hAnsi="楷体_GB2312" w:eastAsia="仿宋_GB2312" w:cs="楷体_GB2312"/>
          <w:sz w:val="32"/>
          <w:szCs w:val="32"/>
          <w:highlight w:val="none"/>
        </w:rPr>
        <w:t>联盟已向市知识产权主管部门备案，成立2年以上</w:t>
      </w:r>
      <w:r>
        <w:rPr>
          <w:rFonts w:hint="eastAsia" w:ascii="仿宋_GB2312" w:hAnsi="楷体_GB2312" w:eastAsia="仿宋_GB2312" w:cs="楷体_GB2312"/>
          <w:sz w:val="32"/>
          <w:szCs w:val="32"/>
          <w:highlight w:val="none"/>
          <w:lang w:eastAsia="zh-CN"/>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（八）</w:t>
      </w:r>
      <w:r>
        <w:rPr>
          <w:rFonts w:hint="eastAsia" w:ascii="仿宋_GB2312" w:hAnsi="楷体_GB2312" w:eastAsia="仿宋_GB2312" w:cs="楷体_GB2312"/>
          <w:sz w:val="32"/>
          <w:szCs w:val="32"/>
          <w:highlight w:val="none"/>
        </w:rPr>
        <w:t>在光明区连续运作一年以上，有稳定的工作场所，配备专职工作人员，工作机制完备。</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（九）</w:t>
      </w:r>
      <w:r>
        <w:rPr>
          <w:rFonts w:hint="eastAsia" w:ascii="仿宋_GB2312" w:hAnsi="楷体_GB2312" w:eastAsia="仿宋_GB2312" w:cs="楷体_GB2312"/>
          <w:sz w:val="32"/>
          <w:szCs w:val="32"/>
          <w:highlight w:val="none"/>
        </w:rPr>
        <w:t>联盟成员单位拥有知识产权（含专利、商标、著作权等，下同）数量合计需达到100件以上，且近2年持续增长。</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eastAsia="仿宋_GB2312" w:cs="宋体"/>
          <w:kern w:val="2"/>
          <w:sz w:val="32"/>
          <w:szCs w:val="32"/>
          <w:highlight w:val="none"/>
          <w:lang w:eastAsia="zh-CN"/>
        </w:rPr>
        <w:t>（十）</w:t>
      </w:r>
      <w:r>
        <w:rPr>
          <w:rFonts w:hint="eastAsia" w:ascii="仿宋_GB2312" w:hAnsi="楷体_GB2312" w:eastAsia="仿宋_GB2312" w:cs="楷体_GB2312"/>
          <w:sz w:val="32"/>
          <w:szCs w:val="32"/>
          <w:highlight w:val="none"/>
        </w:rPr>
        <w:t>联盟</w:t>
      </w:r>
      <w:r>
        <w:rPr>
          <w:rFonts w:hint="eastAsia" w:ascii="仿宋_GB2312" w:hAnsi="楷体_GB2312" w:eastAsia="仿宋_GB2312" w:cs="楷体_GB2312"/>
          <w:sz w:val="32"/>
          <w:szCs w:val="32"/>
          <w:highlight w:val="none"/>
          <w:lang w:eastAsia="zh-CN"/>
        </w:rPr>
        <w:t>前两年</w:t>
      </w:r>
      <w:r>
        <w:rPr>
          <w:rFonts w:hint="eastAsia" w:ascii="仿宋_GB2312" w:hAnsi="楷体_GB2312" w:eastAsia="仿宋_GB2312" w:cs="楷体_GB2312"/>
          <w:sz w:val="32"/>
          <w:szCs w:val="32"/>
          <w:highlight w:val="none"/>
        </w:rPr>
        <w:t>未获得过本条资助</w:t>
      </w:r>
      <w:r>
        <w:rPr>
          <w:rFonts w:hint="eastAsia" w:ascii="仿宋_GB2312" w:hAnsi="楷体_GB2312" w:eastAsia="仿宋_GB2312" w:cs="楷体_GB2312"/>
          <w:sz w:val="32"/>
          <w:szCs w:val="32"/>
          <w:highlight w:val="none"/>
          <w:lang w:eastAsia="zh-CN"/>
        </w:rPr>
        <w:t>，申请年度</w:t>
      </w:r>
      <w:r>
        <w:rPr>
          <w:rFonts w:hint="eastAsia" w:ascii="仿宋_GB2312" w:hAnsi="楷体_GB2312" w:eastAsia="仿宋_GB2312" w:cs="楷体_GB2312"/>
          <w:sz w:val="32"/>
          <w:szCs w:val="32"/>
          <w:highlight w:val="none"/>
        </w:rPr>
        <w:t>未获得过深圳市产业知识产权联盟</w:t>
      </w:r>
      <w:r>
        <w:rPr>
          <w:rFonts w:hint="eastAsia" w:ascii="仿宋_GB2312" w:hAnsi="楷体_GB2312" w:eastAsia="仿宋_GB2312" w:cs="楷体_GB2312"/>
          <w:sz w:val="32"/>
          <w:szCs w:val="32"/>
          <w:highlight w:val="none"/>
          <w:lang w:eastAsia="zh-CN"/>
        </w:rPr>
        <w:t>项目</w:t>
      </w:r>
      <w:r>
        <w:rPr>
          <w:rFonts w:hint="eastAsia" w:ascii="仿宋_GB2312" w:hAnsi="楷体_GB2312" w:eastAsia="仿宋_GB2312" w:cs="楷体_GB2312"/>
          <w:sz w:val="32"/>
          <w:szCs w:val="32"/>
          <w:highlight w:val="none"/>
        </w:rPr>
        <w:t>资助。</w:t>
      </w:r>
    </w:p>
    <w:p>
      <w:pPr>
        <w:kinsoku/>
        <w:overflowPunct w:val="0"/>
        <w:autoSpaceDE w:val="0"/>
        <w:autoSpaceDN w:val="0"/>
        <w:spacing w:line="560" w:lineRule="exact"/>
        <w:ind w:firstLine="640" w:firstLineChars="200"/>
        <w:jc w:val="both"/>
        <w:rPr>
          <w:rFonts w:hint="eastAsia"/>
          <w:lang w:eastAsia="zh-CN"/>
        </w:rPr>
      </w:pPr>
      <w:r>
        <w:rPr>
          <w:rFonts w:hint="eastAsia" w:ascii="仿宋_GB2312" w:eastAsia="仿宋_GB2312" w:cs="宋体"/>
          <w:kern w:val="2"/>
          <w:sz w:val="32"/>
          <w:szCs w:val="32"/>
          <w:highlight w:val="none"/>
          <w:lang w:eastAsia="zh-CN"/>
        </w:rPr>
        <w:t>（十一）</w:t>
      </w:r>
      <w:r>
        <w:rPr>
          <w:rFonts w:hint="eastAsia" w:ascii="仿宋_GB2312" w:hAnsi="楷体_GB2312" w:eastAsia="仿宋_GB2312" w:cs="楷体_GB2312"/>
          <w:sz w:val="32"/>
          <w:szCs w:val="32"/>
          <w:highlight w:val="none"/>
        </w:rPr>
        <w:t>同一年度同一申请单位，不可同时申请本条与专利导航项目、知识产权运营中心项目、知识产权保护工作站项目。</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建立产业知识产权联盟的证明材料、联盟备案申请书、联盟章程。</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七</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联盟符合光明区及以上政府产业政策导向的相关证明材料。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八</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联盟办公场地情况、租赁合同或房产证明。</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九</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联盟专职工作人员信息，如：人员名册、聘用关系证明（如</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sz w:val="32"/>
          <w:szCs w:val="32"/>
          <w:highlight w:val="none"/>
        </w:rPr>
        <w:t>纳税证明、劳动合同、社保缴纳证明）、人员资质证书、职称证书等。</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联盟成员单位拥有知识产权数量、清单、年度增长情况。</w:t>
      </w:r>
    </w:p>
    <w:p>
      <w:pPr>
        <w:kinsoku/>
        <w:overflowPunct w:val="0"/>
        <w:autoSpaceDE w:val="0"/>
        <w:autoSpaceDN w:val="0"/>
        <w:spacing w:line="560" w:lineRule="exact"/>
        <w:ind w:firstLine="640" w:firstLineChars="200"/>
        <w:rPr>
          <w:rFonts w:ascii="仿宋_GB2312" w:hAnsi="楷体_GB2312" w:eastAsia="仿宋_GB2312" w:cs="楷体_GB2312"/>
          <w:sz w:val="32"/>
          <w:szCs w:val="32"/>
          <w:highlight w:val="none"/>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十一</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联盟年度工作报告，如：知识产权数据库建设、专利池组建、知识产权许可转让或知识产权预警分析、知识产权维权</w:t>
      </w:r>
      <w:r>
        <w:rPr>
          <w:rFonts w:hint="eastAsia" w:ascii="仿宋_GB2312" w:hAnsi="楷体_GB2312" w:eastAsia="仿宋_GB2312" w:cs="楷体_GB2312"/>
          <w:sz w:val="32"/>
          <w:szCs w:val="32"/>
          <w:highlight w:val="none"/>
          <w:lang w:eastAsia="zh-CN"/>
        </w:rPr>
        <w:t>、</w:t>
      </w:r>
      <w:r>
        <w:rPr>
          <w:rFonts w:hint="eastAsia" w:ascii="仿宋_GB2312" w:hAnsi="楷体_GB2312" w:eastAsia="仿宋_GB2312" w:cs="楷体_GB2312"/>
          <w:color w:val="auto"/>
          <w:kern w:val="2"/>
          <w:sz w:val="32"/>
          <w:szCs w:val="32"/>
          <w:highlight w:val="none"/>
          <w:lang w:eastAsia="zh-CN"/>
        </w:rPr>
        <w:t>知识产权保护志愿服务活动</w:t>
      </w:r>
      <w:r>
        <w:rPr>
          <w:rFonts w:hint="eastAsia" w:ascii="仿宋_GB2312" w:hAnsi="楷体_GB2312" w:eastAsia="仿宋_GB2312" w:cs="楷体_GB2312"/>
          <w:sz w:val="32"/>
          <w:szCs w:val="32"/>
          <w:highlight w:val="none"/>
        </w:rPr>
        <w:t>等知识产权相关工作，依据《产业知识产权联盟建设指南》有关内容提交。</w:t>
      </w:r>
    </w:p>
    <w:p>
      <w:pPr>
        <w:widowControl/>
        <w:snapToGrid w:val="0"/>
        <w:spacing w:line="560" w:lineRule="exact"/>
        <w:ind w:firstLine="640" w:firstLineChars="200"/>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十二</w:t>
      </w: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highlight w:val="none"/>
        </w:rPr>
        <w:t>项目</w:t>
      </w:r>
      <w:r>
        <w:rPr>
          <w:rFonts w:hint="eastAsia" w:ascii="仿宋_GB2312" w:hAnsi="楷体_GB2312" w:eastAsia="仿宋_GB2312" w:cs="楷体_GB2312"/>
          <w:sz w:val="32"/>
          <w:szCs w:val="32"/>
          <w:highlight w:val="none"/>
          <w:lang w:eastAsia="zh-CN"/>
        </w:rPr>
        <w:t>专项</w:t>
      </w:r>
      <w:r>
        <w:rPr>
          <w:rFonts w:hint="eastAsia" w:ascii="仿宋_GB2312" w:hAnsi="楷体_GB2312" w:eastAsia="仿宋_GB2312" w:cs="楷体_GB2312"/>
          <w:sz w:val="32"/>
          <w:szCs w:val="32"/>
          <w:highlight w:val="none"/>
        </w:rPr>
        <w:t>审计报告。</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33DBE4F-2D5C-4705-8D73-988402741B7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E16AE8C-8752-49FA-9D47-BA4199119217}"/>
  </w:font>
  <w:font w:name="方正小标宋_GBK">
    <w:panose1 w:val="02000000000000000000"/>
    <w:charset w:val="86"/>
    <w:family w:val="script"/>
    <w:pitch w:val="default"/>
    <w:sig w:usb0="A00002BF" w:usb1="38CF7CFA" w:usb2="00082016" w:usb3="00000000" w:csb0="00040001" w:csb1="00000000"/>
    <w:embedRegular r:id="rId3" w:fontKey="{E19D36B6-87EF-4F3A-8465-83CC27F8A7A5}"/>
  </w:font>
  <w:font w:name="仿宋_GB2312">
    <w:panose1 w:val="02010609030101010101"/>
    <w:charset w:val="86"/>
    <w:family w:val="modern"/>
    <w:pitch w:val="default"/>
    <w:sig w:usb0="00000001" w:usb1="080E0000" w:usb2="00000000" w:usb3="00000000" w:csb0="00040000" w:csb1="00000000"/>
    <w:embedRegular r:id="rId4" w:fontKey="{24459452-EFFA-4049-A20B-66B12650F795}"/>
  </w:font>
  <w:font w:name="FangSong_GB2312">
    <w:altName w:val="仿宋_GB2312"/>
    <w:panose1 w:val="00000000000000000000"/>
    <w:charset w:val="86"/>
    <w:family w:val="auto"/>
    <w:pitch w:val="default"/>
    <w:sig w:usb0="00000000" w:usb1="00000000" w:usb2="00000000" w:usb3="00000000" w:csb0="00040000" w:csb1="00000000"/>
    <w:embedRegular r:id="rId5" w:fontKey="{69069906-822C-4F99-B6E5-9ECC3EC911DC}"/>
  </w:font>
  <w:font w:name="楷体_GB2312">
    <w:panose1 w:val="02010609030101010101"/>
    <w:charset w:val="86"/>
    <w:family w:val="modern"/>
    <w:pitch w:val="default"/>
    <w:sig w:usb0="00000001" w:usb1="080E0000" w:usb2="00000000" w:usb3="00000000" w:csb0="00040000" w:csb1="00000000"/>
    <w:embedRegular r:id="rId6" w:fontKey="{BE1A3CE3-3403-4AA7-84CE-7D0B059FA3D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01733D"/>
    <w:rsid w:val="1865390F"/>
    <w:rsid w:val="186D30FE"/>
    <w:rsid w:val="18C31B6E"/>
    <w:rsid w:val="1BAD1FB6"/>
    <w:rsid w:val="1BC923DA"/>
    <w:rsid w:val="1BE44C1C"/>
    <w:rsid w:val="1C0E2F29"/>
    <w:rsid w:val="1D185152"/>
    <w:rsid w:val="1D5E3A3C"/>
    <w:rsid w:val="1D7338BD"/>
    <w:rsid w:val="1E1B192D"/>
    <w:rsid w:val="1E366767"/>
    <w:rsid w:val="1E376BB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1</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2024-03-18T08:55:07Z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