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宝安区高技能人才培训基地认定评审细则</w:t>
      </w:r>
    </w:p>
    <w:tbl>
      <w:tblPr>
        <w:tblStyle w:val="7"/>
        <w:tblW w:w="155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23"/>
        <w:gridCol w:w="4447"/>
        <w:gridCol w:w="5670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序号</w:t>
            </w:r>
          </w:p>
        </w:tc>
        <w:tc>
          <w:tcPr>
            <w:tcW w:w="12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评审内容</w:t>
            </w:r>
          </w:p>
        </w:tc>
        <w:tc>
          <w:tcPr>
            <w:tcW w:w="444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评审标准</w:t>
            </w:r>
          </w:p>
        </w:tc>
        <w:tc>
          <w:tcPr>
            <w:tcW w:w="56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评审细则</w:t>
            </w:r>
          </w:p>
        </w:tc>
        <w:tc>
          <w:tcPr>
            <w:tcW w:w="35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佐证材料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1</w:t>
            </w:r>
          </w:p>
        </w:tc>
        <w:tc>
          <w:tcPr>
            <w:tcW w:w="122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(一)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组织管理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(15分</w:t>
            </w:r>
            <w:r>
              <w:rPr>
                <w:rFonts w:ascii="宋体" w:hAnsi="宋体" w:eastAsia="宋体" w:cs="宋体"/>
                <w:sz w:val="24"/>
              </w:rPr>
              <w:t>)</w:t>
            </w:r>
          </w:p>
        </w:tc>
        <w:tc>
          <w:tcPr>
            <w:tcW w:w="4447" w:type="dxa"/>
            <w:vAlign w:val="center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1.建立组织领导机构。(5分)</w:t>
            </w:r>
          </w:p>
        </w:tc>
        <w:tc>
          <w:tcPr>
            <w:tcW w:w="5670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组织领导机构及管理人员配置合理，分工明确，基地负责人、办公室、教务（培训管理）、财务等部门、责任人齐全，记5分；组织领导机构及管理人员配置基本合理，或分工基本明确，或基地负责人、办公室、教务（培训管理）、财务等部门责任人基本齐全，记2-4分。</w:t>
            </w:r>
          </w:p>
        </w:tc>
        <w:tc>
          <w:tcPr>
            <w:tcW w:w="3544" w:type="dxa"/>
            <w:vAlign w:val="center"/>
          </w:tcPr>
          <w:p>
            <w:pPr>
              <w:spacing w:line="26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.基地成立文件及组织架构图；</w:t>
            </w:r>
          </w:p>
          <w:p>
            <w:pPr>
              <w:spacing w:line="26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管理人员一览表；</w:t>
            </w:r>
          </w:p>
          <w:p>
            <w:pPr>
              <w:spacing w:line="26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管理人员近1个月社保清单和有效合同。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22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4447" w:type="dxa"/>
            <w:vAlign w:val="center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2.建立内部员工培训、考核与使用相结合的职级晋升制度以及培训管理、财务管理、师资管理、资产管理等管理制度。(10分)</w:t>
            </w:r>
          </w:p>
        </w:tc>
        <w:tc>
          <w:tcPr>
            <w:tcW w:w="5670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企业、事业单位（非院校、培训机构）：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（1）企业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建立内部员工培训、考核与使用相结合的职级晋升制度，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记4分；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（2）基地管理制度健全，涵盖培训、考核、资产（设备）、师资、学员、财务、安全等方面，记6分；基地管理制度基本健全，涵盖培训、财务、师资、资产等方面，记3</w:t>
            </w:r>
            <w:r>
              <w:rPr>
                <w:rFonts w:ascii="宋体" w:hAnsi="宋体" w:eastAsia="宋体" w:cs="宋体"/>
                <w:sz w:val="18"/>
                <w:szCs w:val="18"/>
              </w:rPr>
              <w:t>-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5分。</w:t>
            </w:r>
          </w:p>
          <w:p>
            <w:pPr>
              <w:jc w:val="left"/>
              <w:rPr>
                <w:rFonts w:ascii="宋体" w:hAnsi="宋体" w:eastAsia="宋体" w:cs="宋体"/>
                <w:b/>
                <w:sz w:val="18"/>
                <w:szCs w:val="18"/>
              </w:rPr>
            </w:pPr>
          </w:p>
          <w:p>
            <w:pPr>
              <w:jc w:val="left"/>
              <w:rPr>
                <w:rFonts w:ascii="宋体" w:hAnsi="宋体" w:eastAsia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院校、培训机构和行业协会：</w:t>
            </w:r>
          </w:p>
          <w:p>
            <w:pPr>
              <w:jc w:val="left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基地管理制度健全，涵盖培训、考核、资产（设备）、师资、学员、财务、安全等方面，记10分；基地管理制度基本健全，涵盖培训、财务、师资、资产（设备）、安全等方面，记6</w:t>
            </w:r>
            <w:r>
              <w:rPr>
                <w:rFonts w:ascii="宋体" w:hAnsi="宋体" w:eastAsia="宋体" w:cs="宋体"/>
                <w:sz w:val="18"/>
                <w:szCs w:val="18"/>
              </w:rPr>
              <w:t>-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9分。</w:t>
            </w:r>
          </w:p>
        </w:tc>
        <w:tc>
          <w:tcPr>
            <w:tcW w:w="3544" w:type="dxa"/>
            <w:vAlign w:val="center"/>
          </w:tcPr>
          <w:p>
            <w:pPr>
              <w:spacing w:line="26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基地管理制度汇编。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2</w:t>
            </w:r>
          </w:p>
        </w:tc>
        <w:tc>
          <w:tcPr>
            <w:tcW w:w="122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（二）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设施设备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(</w:t>
            </w:r>
            <w:r>
              <w:rPr>
                <w:rFonts w:ascii="宋体" w:hAnsi="宋体" w:eastAsia="宋体" w:cs="宋体"/>
                <w:sz w:val="24"/>
              </w:rPr>
              <w:t>30</w:t>
            </w:r>
            <w:r>
              <w:rPr>
                <w:rFonts w:hint="eastAsia" w:ascii="宋体" w:hAnsi="宋体" w:eastAsia="宋体" w:cs="宋体"/>
                <w:sz w:val="24"/>
              </w:rPr>
              <w:t>分</w:t>
            </w:r>
            <w:r>
              <w:rPr>
                <w:rFonts w:ascii="宋体" w:hAnsi="宋体" w:eastAsia="宋体" w:cs="宋体"/>
                <w:sz w:val="24"/>
              </w:rPr>
              <w:t>)</w:t>
            </w:r>
          </w:p>
        </w:tc>
        <w:tc>
          <w:tcPr>
            <w:tcW w:w="4447" w:type="dxa"/>
            <w:vAlign w:val="center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3.具有年培训200名以上高技能人才的培训场地，办公场地不少于30平方米，理论培训场地不少于50平方米。(15分)</w:t>
            </w:r>
          </w:p>
        </w:tc>
        <w:tc>
          <w:tcPr>
            <w:tcW w:w="5670" w:type="dxa"/>
            <w:vAlign w:val="center"/>
          </w:tcPr>
          <w:p>
            <w:pPr>
              <w:spacing w:line="260" w:lineRule="exac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办公场地30平方米以上，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记2-3分；</w:t>
            </w:r>
          </w:p>
          <w:p>
            <w:pPr>
              <w:spacing w:line="260" w:lineRule="exac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理论培训场地50平方米以上，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记2-4分；</w:t>
            </w:r>
          </w:p>
          <w:p>
            <w:pPr>
              <w:spacing w:line="260" w:lineRule="exac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（3）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实训场地100平方米以上、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满足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年培训200名以上高技能人才，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记5-8分。</w:t>
            </w:r>
          </w:p>
        </w:tc>
        <w:tc>
          <w:tcPr>
            <w:tcW w:w="3544" w:type="dxa"/>
            <w:vAlign w:val="center"/>
          </w:tcPr>
          <w:p>
            <w:pPr>
              <w:spacing w:line="26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1.办公场所和培训场地（理论、实训）平面图（标注面积）；</w:t>
            </w:r>
          </w:p>
          <w:p>
            <w:pPr>
              <w:spacing w:line="26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.实训室设备布局平面图（标注面积、工位数）。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22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4447" w:type="dxa"/>
            <w:vAlign w:val="center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4.具有与培养目标、培养标准相匹配的实训装备，有特色专业(职业)相匹配的实训装备，且能满足年培训200名以上高技能人才的需要。(15分)</w:t>
            </w:r>
          </w:p>
        </w:tc>
        <w:tc>
          <w:tcPr>
            <w:tcW w:w="5670" w:type="dxa"/>
            <w:vAlign w:val="center"/>
          </w:tcPr>
          <w:p>
            <w:pPr>
              <w:spacing w:line="260" w:lineRule="exac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实训装备与培养目标、培养标准相匹配，记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4分；基本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匹配，记2-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3分；</w:t>
            </w:r>
          </w:p>
          <w:p>
            <w:pPr>
              <w:spacing w:line="260" w:lineRule="exac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实训装备与特色专业(职业)相匹配，记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4分；基本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匹配，记2-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3分；</w:t>
            </w:r>
          </w:p>
          <w:p>
            <w:pPr>
              <w:spacing w:line="260" w:lineRule="exact"/>
              <w:rPr>
                <w:rFonts w:ascii="宋体" w:hAnsi="宋体" w:eastAsia="宋体" w:cs="宋体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（3）实训设备满足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年培训200名以上高技能人才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，记5-7分。</w:t>
            </w:r>
          </w:p>
        </w:tc>
        <w:tc>
          <w:tcPr>
            <w:tcW w:w="3544" w:type="dxa"/>
            <w:vAlign w:val="center"/>
          </w:tcPr>
          <w:p>
            <w:pPr>
              <w:spacing w:line="26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实训装备清单。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3</w:t>
            </w:r>
          </w:p>
        </w:tc>
        <w:tc>
          <w:tcPr>
            <w:tcW w:w="12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（三）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师资队伍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(2</w:t>
            </w:r>
            <w:r>
              <w:rPr>
                <w:rFonts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分</w:t>
            </w:r>
            <w:r>
              <w:rPr>
                <w:rFonts w:ascii="宋体" w:hAnsi="宋体" w:eastAsia="宋体" w:cs="宋体"/>
                <w:szCs w:val="21"/>
              </w:rPr>
              <w:t>)</w:t>
            </w:r>
          </w:p>
        </w:tc>
        <w:tc>
          <w:tcPr>
            <w:tcW w:w="4447" w:type="dxa"/>
            <w:vAlign w:val="center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5.每个职业(工种)需配备不少于2名培训师资，且具有高于培训层次的职业资格或专业技术职务。(20分)</w:t>
            </w:r>
          </w:p>
        </w:tc>
        <w:tc>
          <w:tcPr>
            <w:tcW w:w="5670" w:type="dxa"/>
            <w:vAlign w:val="center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（1）每个职业（工种）配备2名教师，外聘教师不超过60%，记8分；教师配备不足或外聘教师超过60%，记3-7分；</w:t>
            </w: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（2）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教师具有高于培训层次的职业资格或专业技术职务,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具有技师或中级技术职称及以上，占比6</w:t>
            </w:r>
            <w:r>
              <w:rPr>
                <w:rFonts w:ascii="宋体" w:hAnsi="宋体" w:eastAsia="宋体" w:cs="宋体"/>
                <w:sz w:val="18"/>
                <w:szCs w:val="18"/>
              </w:rPr>
              <w:t>0%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及以上，记8分；具有技师或中级技术职称及以上，占比不足6</w:t>
            </w:r>
            <w:r>
              <w:rPr>
                <w:rFonts w:ascii="宋体" w:hAnsi="宋体" w:eastAsia="宋体" w:cs="宋体"/>
                <w:sz w:val="18"/>
                <w:szCs w:val="18"/>
              </w:rPr>
              <w:t>0%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，记3-7分；</w:t>
            </w:r>
          </w:p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（3）具有教师资格证或上岗证或参加过教育理论培训，记2</w:t>
            </w:r>
            <w:r>
              <w:rPr>
                <w:rFonts w:ascii="宋体" w:hAnsi="宋体" w:eastAsia="宋体" w:cs="宋体"/>
                <w:sz w:val="18"/>
                <w:szCs w:val="18"/>
              </w:rPr>
              <w:t>-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4分。</w:t>
            </w:r>
          </w:p>
        </w:tc>
        <w:tc>
          <w:tcPr>
            <w:tcW w:w="3544" w:type="dxa"/>
            <w:vAlign w:val="center"/>
          </w:tcPr>
          <w:p>
            <w:pPr>
              <w:spacing w:line="26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1.培训师资一览表；</w:t>
            </w:r>
          </w:p>
          <w:p>
            <w:pPr>
              <w:spacing w:line="26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.专职教师提供近1个月社保清单和合同；外聘教师提供聘用合同或聘书；</w:t>
            </w:r>
          </w:p>
          <w:p>
            <w:pPr>
              <w:spacing w:line="26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职业资格（技能等级）证书或专业技术职称证书；</w:t>
            </w:r>
          </w:p>
          <w:p>
            <w:pPr>
              <w:spacing w:line="26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教师资格证、上岗证、教育理论培训证明、企业内训讲师证书等。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4</w:t>
            </w:r>
          </w:p>
        </w:tc>
        <w:tc>
          <w:tcPr>
            <w:tcW w:w="12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（四）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课程资源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(2</w:t>
            </w:r>
            <w:r>
              <w:rPr>
                <w:rFonts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分</w:t>
            </w:r>
            <w:r>
              <w:rPr>
                <w:rFonts w:ascii="宋体" w:hAnsi="宋体" w:eastAsia="宋体" w:cs="宋体"/>
                <w:szCs w:val="21"/>
              </w:rPr>
              <w:t>)</w:t>
            </w:r>
          </w:p>
        </w:tc>
        <w:tc>
          <w:tcPr>
            <w:tcW w:w="4447" w:type="dxa"/>
            <w:vAlign w:val="center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6.具有与开展培训内容相适应的培训课程资源。(20分)</w:t>
            </w:r>
          </w:p>
        </w:tc>
        <w:tc>
          <w:tcPr>
            <w:tcW w:w="5670" w:type="dxa"/>
            <w:vAlign w:val="center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培训课程资源与开展培训内容相配套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，记20分；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培训课程资源与开展培训内容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基本配套，记10</w:t>
            </w:r>
            <w:r>
              <w:rPr>
                <w:rFonts w:ascii="宋体" w:hAnsi="宋体" w:eastAsia="宋体" w:cs="宋体"/>
                <w:sz w:val="18"/>
                <w:szCs w:val="18"/>
              </w:rPr>
              <w:t>-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19分。</w:t>
            </w:r>
          </w:p>
        </w:tc>
        <w:tc>
          <w:tcPr>
            <w:tcW w:w="3544" w:type="dxa"/>
            <w:vAlign w:val="center"/>
          </w:tcPr>
          <w:p>
            <w:pPr>
              <w:spacing w:line="26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1.培训项目一览表；</w:t>
            </w:r>
          </w:p>
          <w:p>
            <w:pPr>
              <w:spacing w:line="26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2.课程资源一览表。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5</w:t>
            </w:r>
          </w:p>
        </w:tc>
        <w:tc>
          <w:tcPr>
            <w:tcW w:w="12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（五）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信息化建设</w:t>
            </w:r>
            <w:r>
              <w:rPr>
                <w:rFonts w:hint="eastAsia" w:ascii="宋体" w:hAnsi="宋体" w:eastAsia="宋体" w:cs="宋体"/>
                <w:szCs w:val="21"/>
              </w:rPr>
              <w:t>(1</w:t>
            </w:r>
            <w:r>
              <w:rPr>
                <w:rFonts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分</w:t>
            </w:r>
            <w:r>
              <w:rPr>
                <w:rFonts w:ascii="宋体" w:hAnsi="宋体" w:eastAsia="宋体" w:cs="宋体"/>
                <w:szCs w:val="21"/>
              </w:rPr>
              <w:t>)</w:t>
            </w:r>
          </w:p>
        </w:tc>
        <w:tc>
          <w:tcPr>
            <w:tcW w:w="4447" w:type="dxa"/>
            <w:vAlign w:val="center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7.具有信息化服务能力，有网站或微信公众号或内部信息化管理系统。(10分)</w:t>
            </w:r>
          </w:p>
        </w:tc>
        <w:tc>
          <w:tcPr>
            <w:tcW w:w="5670" w:type="dxa"/>
            <w:vAlign w:val="center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有网站、微信公众号、内部信息化管理系统3项，记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10分；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有其中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2项，记7分；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有其中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1项，记4分。</w:t>
            </w:r>
          </w:p>
        </w:tc>
        <w:tc>
          <w:tcPr>
            <w:tcW w:w="3544" w:type="dxa"/>
            <w:vAlign w:val="center"/>
          </w:tcPr>
          <w:p>
            <w:pPr>
              <w:spacing w:line="260" w:lineRule="exact"/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提供网站、微信公众号、内部信息化管理系统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说明材料及截图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26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提供网站网址、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微信公众号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（五）</w:t>
            </w:r>
          </w:p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产业契合度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(5分)</w:t>
            </w:r>
          </w:p>
        </w:tc>
        <w:tc>
          <w:tcPr>
            <w:tcW w:w="4447" w:type="dxa"/>
            <w:vAlign w:val="center"/>
          </w:tcPr>
          <w:p>
            <w:pPr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8.基地产出成果与区先进制造业相契合。（5分）</w:t>
            </w:r>
          </w:p>
        </w:tc>
        <w:tc>
          <w:tcPr>
            <w:tcW w:w="5670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基地产出成果与区先进制造业契合高</w:t>
            </w:r>
            <w:r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记5</w:t>
            </w:r>
            <w:r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基地产出成果与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区先进</w:t>
            </w: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制造业契合一般</w:t>
            </w:r>
            <w:r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记2-3</w:t>
            </w:r>
            <w:r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3544" w:type="dxa"/>
            <w:vAlign w:val="center"/>
          </w:tcPr>
          <w:p>
            <w:pPr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基地工作</w:t>
            </w: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计划。</w:t>
            </w:r>
          </w:p>
        </w:tc>
      </w:tr>
    </w:tbl>
    <w:p>
      <w:pPr>
        <w:rPr>
          <w:rFonts w:ascii="宋体" w:hAnsi="宋体" w:eastAsia="宋体" w:cs="宋体"/>
          <w:szCs w:val="21"/>
        </w:rPr>
      </w:pPr>
    </w:p>
    <w:sectPr>
      <w:pgSz w:w="16838" w:h="11906" w:orient="landscape"/>
      <w:pgMar w:top="851" w:right="567" w:bottom="454" w:left="56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ZGJhNzFlODcyMTE5ZDIxMGRiOGVjMDJkOGMyMTIifQ=="/>
  </w:docVars>
  <w:rsids>
    <w:rsidRoot w:val="00000000"/>
    <w:rsid w:val="C9FDFA3B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1 Char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眉 Char"/>
    <w:basedOn w:val="8"/>
    <w:link w:val="5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正文_0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页脚_0"/>
    <w:basedOn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248</Words>
  <Characters>1417</Characters>
  <Lines>11</Lines>
  <Paragraphs>3</Paragraphs>
  <TotalTime>397</TotalTime>
  <ScaleCrop>false</ScaleCrop>
  <LinksUpToDate>false</LinksUpToDate>
  <CharactersWithSpaces>1662</CharactersWithSpaces>
  <Application>WPS Office_11.8.2.10682_F1E327BC-269C-435d-A152-05C5408002CA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2023-06-30T02:42:00Z</dcterms:created>
  <dc:creator>liu yaosheng</dc:creator>
  <cp:lastModifiedBy>职业能力建设科</cp:lastModifiedBy>
  <cp:lastPrinted>2023-04-01T16:14:00Z</cp:lastPrinted>
  <dcterms:modified xsi:type="dcterms:W3CDTF">2024-10-18T10:11:59Z</dcterms:modified>
  <dc:title>附件2_xFF1A_</dc:title>
  <cp:revision>234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2052-11.8.2.10682</vt:lpwstr>
  </property>
  <property fmtid="{D5CDD505-2E9C-101B-9397-08002B2CF9AE}" pid="3" name="ICV">
    <vt:lpwstr>2FB638BDF2E34467954B91641B1D1AB4</vt:lpwstr>
  </property>
</Properties>
</file>