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jc w:val="center"/>
        <w:rPr>
          <w:rFonts w:hint="eastAsia" w:ascii="方正小标宋_GBK" w:hAnsi="方正小标宋_GBK" w:eastAsia="方正小标宋_GBK"/>
          <w:sz w:val="44"/>
          <w:szCs w:val="44"/>
        </w:rPr>
      </w:pPr>
      <w:r>
        <w:rPr>
          <w:rFonts w:hint="eastAsia" w:ascii="方正小标宋_GBK" w:hAnsi="方正小标宋_GBK" w:eastAsia="方正小标宋_GBK"/>
          <w:sz w:val="44"/>
          <w:szCs w:val="44"/>
        </w:rPr>
        <w:t>专利开放许可（试点）项目申报指南</w:t>
      </w:r>
    </w:p>
    <w:p>
      <w:pPr>
        <w:widowControl/>
        <w:numPr>
          <w:ilvl w:val="0"/>
          <w:numId w:val="0"/>
        </w:numPr>
        <w:spacing w:line="560" w:lineRule="exact"/>
        <w:ind w:firstLine="640" w:firstLineChars="200"/>
        <w:jc w:val="left"/>
        <w:outlineLvl w:val="0"/>
        <w:rPr>
          <w:rFonts w:hint="eastAsia" w:ascii="仿宋_GB2312" w:hAnsi="宋体" w:eastAsia="黑体"/>
          <w:bCs/>
          <w:kern w:val="44"/>
          <w:sz w:val="32"/>
          <w:szCs w:val="44"/>
          <w:lang w:val="en-US" w:eastAsia="zh-CN"/>
        </w:rPr>
      </w:pPr>
      <w:r>
        <w:rPr>
          <w:rFonts w:hint="eastAsia" w:ascii="仿宋_GB2312" w:hAnsi="宋体" w:eastAsia="黑体"/>
          <w:bCs/>
          <w:kern w:val="44"/>
          <w:sz w:val="32"/>
          <w:szCs w:val="44"/>
          <w:lang w:val="en-US" w:eastAsia="zh-CN"/>
        </w:rPr>
        <w:t>一、 政策依据</w:t>
      </w:r>
    </w:p>
    <w:p>
      <w:pPr>
        <w:pStyle w:val="2"/>
        <w:numPr>
          <w:ilvl w:val="0"/>
          <w:numId w:val="0"/>
        </w:numPr>
        <w:ind w:firstLine="640" w:firstLineChars="200"/>
        <w:rPr>
          <w:rFonts w:hint="eastAsia" w:ascii="仿宋_GB2312" w:eastAsia="仿宋_GB2312" w:cs="宋体"/>
          <w:kern w:val="2"/>
          <w:sz w:val="32"/>
          <w:szCs w:val="32"/>
          <w:highlight w:val="none"/>
          <w:lang w:val="en-US" w:eastAsia="zh-CN"/>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深圳市光明区人民政府关于印发《光明区经济发展专项资金管理办法》的通知（深光府规〔2023〕15号）</w:t>
      </w:r>
    </w:p>
    <w:p>
      <w:pPr>
        <w:widowControl/>
        <w:spacing w:line="560" w:lineRule="exact"/>
        <w:ind w:firstLine="640" w:firstLineChars="200"/>
        <w:jc w:val="left"/>
        <w:outlineLvl w:val="0"/>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w:t>
      </w:r>
      <w:r>
        <w:rPr>
          <w:rFonts w:hint="eastAsia" w:ascii="仿宋_GB2312" w:eastAsia="仿宋_GB2312" w:cs="宋体"/>
          <w:kern w:val="2"/>
          <w:sz w:val="32"/>
          <w:szCs w:val="32"/>
          <w:highlight w:val="none"/>
          <w:lang w:val="en-US" w:eastAsia="zh-CN"/>
        </w:rPr>
        <w:t>二</w:t>
      </w:r>
      <w:r>
        <w:rPr>
          <w:rFonts w:hint="eastAsia" w:ascii="仿宋_GB2312" w:eastAsia="仿宋_GB2312" w:cs="宋体"/>
          <w:kern w:val="2"/>
          <w:sz w:val="32"/>
          <w:szCs w:val="32"/>
          <w:highlight w:val="none"/>
          <w:lang w:eastAsia="zh-CN"/>
        </w:rPr>
        <w:t>）</w:t>
      </w:r>
      <w:r>
        <w:rPr>
          <w:rFonts w:hint="eastAsia" w:ascii="仿宋_GB2312" w:eastAsia="仿宋_GB2312" w:cs="宋体"/>
          <w:kern w:val="2"/>
          <w:sz w:val="32"/>
          <w:szCs w:val="32"/>
          <w:highlight w:val="none"/>
        </w:rPr>
        <w:t>深圳市光明区人民政府印发《深圳市光明区关于促进质量标准知识产权发展的若干措施》的通知（深光府规〔2023〕13号）</w:t>
      </w:r>
    </w:p>
    <w:p>
      <w:pPr>
        <w:pStyle w:val="2"/>
        <w:ind w:firstLine="640"/>
        <w:rPr>
          <w:rFonts w:hint="eastAsia" w:ascii="仿宋_GB2312" w:eastAsia="仿宋_GB2312" w:cs="宋体"/>
          <w:kern w:val="2"/>
          <w:sz w:val="32"/>
          <w:szCs w:val="32"/>
          <w:highlight w:val="none"/>
          <w:lang w:val="en-US" w:eastAsia="zh-CN"/>
        </w:rPr>
      </w:pPr>
      <w:r>
        <w:rPr>
          <w:rFonts w:hint="eastAsia" w:ascii="仿宋_GB2312" w:eastAsia="仿宋_GB2312" w:cs="宋体"/>
          <w:kern w:val="2"/>
          <w:sz w:val="32"/>
          <w:szCs w:val="32"/>
          <w:highlight w:val="none"/>
          <w:lang w:val="en-US" w:eastAsia="zh-CN"/>
        </w:rPr>
        <w:t>（三）深圳市市场监督管理局光明监管局关于印发《深圳市光明区关于促进质量标准知识产权发展的若干措施操作规程》的通知（深市监光规〔2023〕1 号）</w:t>
      </w:r>
    </w:p>
    <w:p>
      <w:pPr>
        <w:pStyle w:val="2"/>
        <w:ind w:firstLine="640" w:firstLineChars="200"/>
        <w:rPr>
          <w:rFonts w:hint="default" w:ascii="仿宋_GB2312" w:eastAsia="仿宋_GB2312" w:cs="宋体"/>
          <w:kern w:val="2"/>
          <w:sz w:val="32"/>
          <w:szCs w:val="32"/>
          <w:highlight w:val="none"/>
          <w:lang w:val="en-US" w:eastAsia="zh-CN"/>
        </w:rPr>
      </w:pPr>
      <w:r>
        <w:rPr>
          <w:rFonts w:hint="eastAsia" w:ascii="仿宋_GB2312" w:eastAsia="黑体"/>
          <w:bCs/>
          <w:kern w:val="44"/>
          <w:sz w:val="32"/>
          <w:szCs w:val="44"/>
          <w:lang w:val="en-US" w:eastAsia="zh-CN"/>
        </w:rPr>
        <w:t>二、专利开放许可（试点）项目</w:t>
      </w:r>
      <w:r>
        <w:rPr>
          <w:rFonts w:hint="eastAsia" w:ascii="仿宋_GB2312" w:hAnsi="宋体" w:eastAsia="黑体"/>
          <w:bCs/>
          <w:kern w:val="44"/>
          <w:sz w:val="32"/>
          <w:szCs w:val="44"/>
          <w:lang w:val="en-US" w:eastAsia="zh-CN"/>
        </w:rPr>
        <w:t>支持对象、资助标准、支持方式</w:t>
      </w:r>
    </w:p>
    <w:p>
      <w:pPr>
        <w:widowControl/>
        <w:spacing w:line="560" w:lineRule="exact"/>
        <w:ind w:firstLine="640" w:firstLineChars="200"/>
        <w:jc w:val="left"/>
        <w:outlineLvl w:val="0"/>
        <w:rPr>
          <w:rFonts w:hint="eastAsia" w:ascii="仿宋_GB2312" w:hAnsi="宋体" w:eastAsia="仿宋_GB2312" w:cs="宋体"/>
          <w:kern w:val="2"/>
          <w:sz w:val="32"/>
          <w:szCs w:val="32"/>
          <w:highlight w:val="none"/>
          <w:lang w:val="en-US" w:eastAsia="zh-CN" w:bidi="zh-CN"/>
        </w:rPr>
      </w:pPr>
      <w:r>
        <w:rPr>
          <w:rFonts w:hint="eastAsia" w:ascii="仿宋_GB2312" w:hAnsi="宋体" w:eastAsia="仿宋_GB2312" w:cs="宋体"/>
          <w:kern w:val="2"/>
          <w:sz w:val="32"/>
          <w:szCs w:val="32"/>
          <w:highlight w:val="none"/>
          <w:lang w:val="en-US" w:eastAsia="zh-CN" w:bidi="zh-CN"/>
        </w:rPr>
        <w:t>鼓励搭建专利开放许可（试点）平台，参照开放许可的理念和方式，发布专利许可信息，建立专利许可数据库、企业需求对接平台，促进高价值专利精准对接和高效匹配市场需求、产业链条，提高转化效率。对新获批国家、省、市专利开放许可（试点）的单位，分别给予最高100 万元、70 万元、50 万元资助。（《若干措施》第四条第十六项）</w:t>
      </w:r>
    </w:p>
    <w:p>
      <w:pPr>
        <w:pStyle w:val="2"/>
        <w:ind w:left="0" w:leftChars="0" w:firstLine="640" w:firstLineChars="200"/>
        <w:rPr>
          <w:rFonts w:hint="eastAsia" w:ascii="仿宋_GB2312" w:eastAsia="仿宋_GB2312" w:cs="宋体"/>
          <w:kern w:val="2"/>
          <w:sz w:val="32"/>
          <w:szCs w:val="32"/>
          <w:highlight w:val="none"/>
          <w:lang w:val="en-US" w:eastAsia="zh-CN"/>
        </w:rPr>
      </w:pPr>
      <w:r>
        <w:rPr>
          <w:rFonts w:hint="eastAsia" w:ascii="仿宋_GB2312" w:hAnsi="宋体" w:eastAsia="仿宋_GB2312" w:cs="宋体"/>
          <w:kern w:val="2"/>
          <w:sz w:val="32"/>
          <w:szCs w:val="32"/>
          <w:highlight w:val="none"/>
          <w:lang w:val="en-US" w:eastAsia="zh-CN" w:bidi="zh-CN"/>
        </w:rPr>
        <w:t>支持方式及数量：事后资助，受年度财政预算安排总量控制。</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三</w:t>
      </w:r>
      <w:r>
        <w:rPr>
          <w:rFonts w:ascii="仿宋_GB2312" w:hAnsi="宋体" w:eastAsia="黑体"/>
          <w:bCs/>
          <w:kern w:val="44"/>
          <w:sz w:val="32"/>
          <w:szCs w:val="44"/>
        </w:rPr>
        <w:t xml:space="preserve">、申请材料 </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申报材料由</w:t>
      </w:r>
      <w:r>
        <w:rPr>
          <w:rFonts w:hint="eastAsia" w:ascii="仿宋_GB2312" w:hAnsi="楷体_GB2312" w:eastAsia="仿宋_GB2312" w:cs="楷体_GB2312"/>
          <w:b/>
          <w:bCs/>
          <w:sz w:val="32"/>
          <w:szCs w:val="32"/>
        </w:rPr>
        <w:t>基础申报材料</w:t>
      </w:r>
      <w:r>
        <w:rPr>
          <w:rFonts w:hint="eastAsia" w:ascii="仿宋_GB2312" w:hAnsi="楷体_GB2312" w:eastAsia="仿宋_GB2312" w:cs="楷体_GB2312"/>
          <w:sz w:val="32"/>
          <w:szCs w:val="32"/>
        </w:rPr>
        <w:t>和</w:t>
      </w:r>
      <w:r>
        <w:rPr>
          <w:rFonts w:hint="eastAsia" w:ascii="仿宋_GB2312" w:hAnsi="楷体_GB2312" w:eastAsia="仿宋_GB2312" w:cs="楷体_GB2312"/>
          <w:b/>
          <w:bCs/>
          <w:sz w:val="32"/>
          <w:szCs w:val="32"/>
        </w:rPr>
        <w:t>专项申报材料</w:t>
      </w:r>
      <w:r>
        <w:rPr>
          <w:rFonts w:hint="eastAsia" w:ascii="仿宋_GB2312" w:hAnsi="楷体_GB2312" w:eastAsia="仿宋_GB2312" w:cs="楷体_GB2312"/>
          <w:sz w:val="32"/>
          <w:szCs w:val="32"/>
        </w:rPr>
        <w:t>两部分组成。</w:t>
      </w:r>
    </w:p>
    <w:p>
      <w:pPr>
        <w:kinsoku w:val="0"/>
        <w:overflowPunct w:val="0"/>
        <w:autoSpaceDE w:val="0"/>
        <w:autoSpaceDN w:val="0"/>
        <w:spacing w:line="560" w:lineRule="exact"/>
        <w:ind w:firstLine="642" w:firstLineChars="200"/>
        <w:rPr>
          <w:rFonts w:ascii="仿宋_GB2312" w:hAnsi="楷体_GB2312" w:eastAsia="仿宋_GB2312" w:cs="楷体_GB2312"/>
          <w:b/>
          <w:bCs/>
          <w:sz w:val="32"/>
          <w:szCs w:val="32"/>
        </w:rPr>
      </w:pPr>
      <w:r>
        <w:rPr>
          <w:rFonts w:hint="eastAsia" w:ascii="仿宋_GB2312" w:hAnsi="楷体_GB2312" w:eastAsia="仿宋_GB2312" w:cs="楷体_GB2312"/>
          <w:b/>
          <w:bCs/>
          <w:sz w:val="32"/>
          <w:szCs w:val="32"/>
        </w:rPr>
        <w:t>基础申报材料：</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（一）登录</w:t>
      </w:r>
      <w:r>
        <w:rPr>
          <w:rFonts w:hint="eastAsia" w:ascii="仿宋_GB2312" w:hAnsi="楷体_GB2312" w:eastAsia="仿宋_GB2312" w:cs="楷体_GB2312"/>
          <w:color w:val="auto"/>
          <w:sz w:val="32"/>
          <w:szCs w:val="32"/>
          <w:highlight w:val="none"/>
          <w:lang w:val="en-US" w:eastAsia="zh-CN"/>
        </w:rPr>
        <w:t>深圳市财政专项资金统一管理平台</w:t>
      </w:r>
      <w:r>
        <w:rPr>
          <w:rFonts w:hint="eastAsia" w:ascii="仿宋_GB2312" w:hAnsi="楷体_GB2312" w:eastAsia="仿宋_GB2312" w:cs="楷体_GB2312"/>
          <w:color w:val="auto"/>
          <w:sz w:val="32"/>
          <w:szCs w:val="32"/>
          <w:highlight w:val="none"/>
        </w:rPr>
        <w:t>在线填报申请书</w:t>
      </w:r>
      <w:r>
        <w:rPr>
          <w:rFonts w:hint="eastAsia" w:ascii="仿宋_GB2312" w:hAnsi="楷体_GB2312" w:eastAsia="仿宋_GB2312" w:cs="楷体_GB2312"/>
          <w:sz w:val="32"/>
          <w:szCs w:val="32"/>
        </w:rPr>
        <w:t>，网址：</w:t>
      </w:r>
      <w:r>
        <w:rPr>
          <w:rFonts w:hint="eastAsia" w:ascii="仿宋_GB2312" w:hAnsi="楷体_GB2312" w:eastAsia="仿宋_GB2312" w:cs="楷体_GB2312"/>
          <w:color w:val="auto"/>
          <w:sz w:val="32"/>
          <w:szCs w:val="32"/>
          <w:highlight w:val="none"/>
        </w:rPr>
        <w:t>https://cqt.szfb.sz.gov.cn/#/home</w:t>
      </w:r>
      <w:r>
        <w:rPr>
          <w:rFonts w:hint="eastAsia" w:ascii="仿宋_GB2312" w:hAnsi="楷体_GB2312" w:eastAsia="仿宋_GB2312" w:cs="楷体_GB2312"/>
          <w:sz w:val="32"/>
          <w:szCs w:val="32"/>
        </w:rPr>
        <w:t>。请企业按照申请指南准备申请材料，需上传扫描件，确保内容清晰。在提交申请后请耐心等待初审通过；若申请未通过初审被退回，请按照相关意见及时修改。</w:t>
      </w:r>
      <w:r>
        <w:rPr>
          <w:rFonts w:ascii="仿宋_GB2312" w:hAnsi="楷体_GB2312" w:eastAsia="仿宋_GB2312" w:cs="楷体_GB2312"/>
          <w:sz w:val="32"/>
          <w:szCs w:val="32"/>
        </w:rPr>
        <w:t>提交通过线上初审后，从该系统导出带水印的申请</w:t>
      </w:r>
      <w:r>
        <w:rPr>
          <w:rFonts w:hint="eastAsia" w:ascii="仿宋_GB2312" w:hAnsi="楷体_GB2312" w:eastAsia="仿宋_GB2312" w:cs="楷体_GB2312"/>
          <w:sz w:val="32"/>
          <w:szCs w:val="32"/>
        </w:rPr>
        <w:t>表及</w:t>
      </w:r>
      <w:r>
        <w:rPr>
          <w:rFonts w:hint="eastAsia" w:ascii="仿宋_GB2312" w:hAnsi="楷体_GB2312" w:eastAsia="仿宋_GB2312" w:cs="楷体_GB2312"/>
          <w:sz w:val="32"/>
          <w:szCs w:val="32"/>
          <w:lang w:eastAsia="zh-CN"/>
        </w:rPr>
        <w:t>申请</w:t>
      </w:r>
      <w:r>
        <w:rPr>
          <w:rFonts w:hint="eastAsia" w:ascii="仿宋_GB2312" w:hAnsi="楷体_GB2312" w:eastAsia="仿宋_GB2312" w:cs="楷体_GB2312"/>
          <w:sz w:val="32"/>
          <w:szCs w:val="32"/>
        </w:rPr>
        <w:t>材料。</w:t>
      </w:r>
      <w:r>
        <w:rPr>
          <w:rFonts w:ascii="仿宋_GB2312" w:hAnsi="楷体_GB2312" w:eastAsia="仿宋_GB2312" w:cs="楷体_GB2312"/>
          <w:sz w:val="32"/>
          <w:szCs w:val="32"/>
        </w:rPr>
        <w:t xml:space="preserve"> </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（二）</w:t>
      </w:r>
      <w:r>
        <w:rPr>
          <w:rFonts w:hint="eastAsia" w:eastAsia="仿宋_GB2312"/>
          <w:sz w:val="32"/>
          <w:szCs w:val="32"/>
          <w:highlight w:val="none"/>
          <w:lang w:val="en-US" w:eastAsia="zh-CN"/>
        </w:rPr>
        <w:t>申请人主体</w:t>
      </w:r>
      <w:r>
        <w:rPr>
          <w:rFonts w:hint="eastAsia" w:ascii="Times New Roman" w:hAnsi="Times New Roman" w:eastAsia="仿宋_GB2312" w:cs="Times New Roman"/>
          <w:sz w:val="32"/>
          <w:szCs w:val="32"/>
          <w:highlight w:val="none"/>
          <w:lang w:val="en-US" w:eastAsia="zh-CN"/>
        </w:rPr>
        <w:t>资格</w:t>
      </w:r>
      <w:r>
        <w:rPr>
          <w:rFonts w:hint="eastAsia" w:eastAsia="仿宋_GB2312"/>
          <w:sz w:val="32"/>
          <w:szCs w:val="32"/>
          <w:highlight w:val="none"/>
          <w:lang w:val="en-US" w:eastAsia="zh-CN"/>
        </w:rPr>
        <w:t>材料（营业执照或主管部门批准成立的文件复印</w:t>
      </w:r>
      <w:r>
        <w:rPr>
          <w:rFonts w:hint="eastAsia" w:ascii="Times New Roman" w:hAnsi="Times New Roman" w:eastAsia="仿宋_GB2312" w:cs="Times New Roman"/>
          <w:sz w:val="32"/>
          <w:szCs w:val="32"/>
          <w:highlight w:val="none"/>
          <w:lang w:val="en-US" w:eastAsia="zh-CN"/>
        </w:rPr>
        <w:t>件）</w:t>
      </w:r>
      <w:r>
        <w:rPr>
          <w:rFonts w:hint="eastAsia" w:ascii="Times New Roman" w:hAnsi="Times New Roman" w:eastAsia="仿宋_GB2312" w:cs="Times New Roman"/>
          <w:sz w:val="32"/>
          <w:szCs w:val="32"/>
          <w:highlight w:val="none"/>
          <w:lang w:eastAsia="zh-CN"/>
        </w:rPr>
        <w:t>、上一年度纳税证明</w:t>
      </w:r>
      <w:r>
        <w:rPr>
          <w:rFonts w:hint="eastAsia" w:ascii="Times New Roman" w:hAnsi="Times New Roman" w:eastAsia="仿宋_GB2312" w:cs="Times New Roman"/>
          <w:sz w:val="32"/>
          <w:szCs w:val="32"/>
          <w:highlight w:val="none"/>
          <w:lang w:val="en-US" w:eastAsia="zh-CN"/>
        </w:rPr>
        <w:t>。</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三</w:t>
      </w:r>
      <w:r>
        <w:rPr>
          <w:rFonts w:hint="eastAsia" w:ascii="仿宋_GB2312" w:hAnsi="楷体_GB2312" w:eastAsia="仿宋_GB2312" w:cs="楷体_GB2312"/>
          <w:sz w:val="32"/>
          <w:szCs w:val="32"/>
        </w:rPr>
        <w:t>）企业信用报告（通过深圳信用网打印完整版信用报告）。</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四</w:t>
      </w:r>
      <w:r>
        <w:rPr>
          <w:rFonts w:hint="eastAsia" w:ascii="仿宋_GB2312" w:hAnsi="楷体_GB2312" w:eastAsia="仿宋_GB2312" w:cs="楷体_GB2312"/>
          <w:sz w:val="32"/>
          <w:szCs w:val="32"/>
        </w:rPr>
        <w:t>）法人授权委托书，法定代表人身份证复印件及经办人身份证复印件（法定代表人身份证无须验原件）。</w:t>
      </w:r>
    </w:p>
    <w:p>
      <w:pPr>
        <w:kinsoku w:val="0"/>
        <w:overflowPunct w:val="0"/>
        <w:autoSpaceDE w:val="0"/>
        <w:autoSpaceDN w:val="0"/>
        <w:spacing w:line="560" w:lineRule="exact"/>
        <w:ind w:firstLine="640" w:firstLineChars="200"/>
        <w:rPr>
          <w:rFonts w:ascii="仿宋_GB2312" w:hAnsi="楷体_GB2312" w:eastAsia="仿宋_GB2312" w:cs="楷体_GB2312"/>
          <w:b/>
          <w:bCs/>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五</w:t>
      </w:r>
      <w:r>
        <w:rPr>
          <w:rFonts w:hint="eastAsia" w:ascii="仿宋_GB2312" w:hAnsi="楷体_GB2312" w:eastAsia="仿宋_GB2312" w:cs="楷体_GB2312"/>
          <w:sz w:val="32"/>
          <w:szCs w:val="32"/>
        </w:rPr>
        <w:t>）深圳市市场监督管理局光明监管局要求提交的其他资料或必要说明等。</w:t>
      </w:r>
    </w:p>
    <w:p>
      <w:pPr>
        <w:kinsoku w:val="0"/>
        <w:overflowPunct w:val="0"/>
        <w:autoSpaceDE w:val="0"/>
        <w:autoSpaceDN w:val="0"/>
        <w:spacing w:line="560" w:lineRule="exact"/>
        <w:ind w:firstLine="642" w:firstLineChars="200"/>
        <w:rPr>
          <w:rFonts w:hint="eastAsia" w:ascii="仿宋_GB2312" w:hAnsi="楷体_GB2312" w:eastAsia="仿宋_GB2312" w:cs="楷体_GB2312"/>
          <w:b/>
          <w:bCs/>
          <w:sz w:val="32"/>
          <w:szCs w:val="32"/>
        </w:rPr>
      </w:pPr>
      <w:r>
        <w:rPr>
          <w:rFonts w:hint="eastAsia" w:ascii="仿宋_GB2312" w:hAnsi="楷体_GB2312" w:eastAsia="仿宋_GB2312" w:cs="楷体_GB2312"/>
          <w:b/>
          <w:bCs/>
          <w:sz w:val="32"/>
          <w:szCs w:val="32"/>
        </w:rPr>
        <w:t>专项申报材料：</w:t>
      </w:r>
    </w:p>
    <w:p>
      <w:pPr>
        <w:spacing w:line="560" w:lineRule="exact"/>
        <w:ind w:firstLine="645"/>
        <w:jc w:val="left"/>
        <w:rPr>
          <w:rFonts w:hint="eastAsia" w:ascii="仿宋_GB2312" w:hAnsi="仿宋_GB2312" w:eastAsia="仿宋_GB2312" w:cs="仿宋_GB2312"/>
          <w:color w:val="000000"/>
          <w:kern w:val="0"/>
          <w:sz w:val="32"/>
          <w:szCs w:val="32"/>
          <w:highlight w:val="none"/>
          <w:lang w:val="en-US" w:eastAsia="zh-CN"/>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六</w:t>
      </w:r>
      <w:r>
        <w:rPr>
          <w:rFonts w:hint="eastAsia" w:ascii="仿宋_GB2312" w:hAnsi="楷体_GB2312" w:eastAsia="仿宋_GB2312" w:cs="楷体_GB2312"/>
          <w:sz w:val="32"/>
          <w:szCs w:val="32"/>
        </w:rPr>
        <w:t>）</w:t>
      </w:r>
      <w:r>
        <w:rPr>
          <w:rFonts w:hint="eastAsia" w:ascii="仿宋_GB2312" w:hAnsi="仿宋_GB2312" w:eastAsia="仿宋_GB2312" w:cs="仿宋_GB2312"/>
          <w:color w:val="000000"/>
          <w:kern w:val="0"/>
          <w:sz w:val="32"/>
          <w:szCs w:val="32"/>
          <w:highlight w:val="none"/>
          <w:lang w:val="en-US" w:eastAsia="zh-CN"/>
        </w:rPr>
        <w:t>获批参与国家、省、市专利开放许可平台试点工作相关文件。</w:t>
      </w:r>
    </w:p>
    <w:p>
      <w:pPr>
        <w:spacing w:line="560" w:lineRule="exact"/>
        <w:ind w:firstLine="645"/>
        <w:jc w:val="left"/>
        <w:rPr>
          <w:rFonts w:hint="eastAsia" w:ascii="仿宋_GB2312" w:hAnsi="仿宋_GB2312" w:eastAsia="仿宋_GB2312" w:cs="仿宋_GB2312"/>
          <w:color w:val="000000"/>
          <w:kern w:val="0"/>
          <w:sz w:val="32"/>
          <w:szCs w:val="32"/>
          <w:highlight w:val="none"/>
          <w:lang w:val="en-US" w:eastAsia="zh-CN"/>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七</w:t>
      </w:r>
      <w:r>
        <w:rPr>
          <w:rFonts w:hint="eastAsia" w:ascii="仿宋_GB2312" w:hAnsi="楷体_GB2312" w:eastAsia="仿宋_GB2312" w:cs="楷体_GB2312"/>
          <w:sz w:val="32"/>
          <w:szCs w:val="32"/>
        </w:rPr>
        <w:t>）</w:t>
      </w:r>
      <w:r>
        <w:rPr>
          <w:rFonts w:hint="eastAsia" w:ascii="仿宋_GB2312" w:hAnsi="仿宋_GB2312" w:eastAsia="仿宋_GB2312" w:cs="仿宋_GB2312"/>
          <w:color w:val="000000"/>
          <w:kern w:val="0"/>
          <w:sz w:val="32"/>
          <w:szCs w:val="32"/>
          <w:highlight w:val="none"/>
          <w:lang w:val="en-US" w:eastAsia="zh-CN"/>
        </w:rPr>
        <w:t>专利开放许可（试点）平台的相关情况介绍。</w:t>
      </w:r>
    </w:p>
    <w:p>
      <w:pPr>
        <w:spacing w:line="560" w:lineRule="exact"/>
        <w:ind w:firstLine="645"/>
        <w:jc w:val="left"/>
        <w:rPr>
          <w:rFonts w:hint="eastAsia" w:ascii="仿宋_GB2312" w:hAnsi="仿宋_GB2312" w:eastAsia="仿宋_GB2312" w:cs="仿宋_GB2312"/>
          <w:color w:val="000000"/>
          <w:kern w:val="0"/>
          <w:sz w:val="32"/>
          <w:szCs w:val="32"/>
          <w:highlight w:val="none"/>
          <w:lang w:val="en-US" w:eastAsia="zh-CN"/>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八</w:t>
      </w:r>
      <w:r>
        <w:rPr>
          <w:rFonts w:hint="eastAsia" w:ascii="仿宋_GB2312" w:hAnsi="楷体_GB2312" w:eastAsia="仿宋_GB2312" w:cs="楷体_GB2312"/>
          <w:sz w:val="32"/>
          <w:szCs w:val="32"/>
        </w:rPr>
        <w:t>）</w:t>
      </w:r>
      <w:r>
        <w:rPr>
          <w:rFonts w:hint="eastAsia" w:ascii="仿宋_GB2312" w:hAnsi="仿宋_GB2312" w:eastAsia="仿宋_GB2312" w:cs="仿宋_GB2312"/>
          <w:color w:val="000000"/>
          <w:kern w:val="0"/>
          <w:sz w:val="32"/>
          <w:szCs w:val="32"/>
          <w:highlight w:val="none"/>
          <w:lang w:val="en-US" w:eastAsia="zh-CN"/>
        </w:rPr>
        <w:t>专利开放许可（试点）平台工作机制文件。</w:t>
      </w:r>
    </w:p>
    <w:p>
      <w:pPr>
        <w:spacing w:line="560" w:lineRule="exact"/>
        <w:ind w:firstLine="645"/>
        <w:jc w:val="left"/>
        <w:rPr>
          <w:rFonts w:hint="eastAsia" w:ascii="仿宋_GB2312" w:hAnsi="仿宋_GB2312" w:eastAsia="仿宋_GB2312" w:cs="仿宋_GB2312"/>
          <w:color w:val="000000"/>
          <w:kern w:val="0"/>
          <w:sz w:val="32"/>
          <w:szCs w:val="32"/>
          <w:highlight w:val="none"/>
          <w:lang w:val="en-US" w:eastAsia="zh-CN"/>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九</w:t>
      </w:r>
      <w:r>
        <w:rPr>
          <w:rFonts w:hint="eastAsia" w:ascii="仿宋_GB2312" w:hAnsi="楷体_GB2312" w:eastAsia="仿宋_GB2312" w:cs="楷体_GB2312"/>
          <w:sz w:val="32"/>
          <w:szCs w:val="32"/>
        </w:rPr>
        <w:t>）</w:t>
      </w:r>
      <w:r>
        <w:rPr>
          <w:rFonts w:hint="eastAsia" w:ascii="仿宋_GB2312" w:hAnsi="仿宋_GB2312" w:eastAsia="仿宋_GB2312" w:cs="仿宋_GB2312"/>
          <w:color w:val="000000"/>
          <w:kern w:val="0"/>
          <w:sz w:val="32"/>
          <w:szCs w:val="32"/>
          <w:highlight w:val="none"/>
          <w:lang w:val="en-US" w:eastAsia="zh-CN"/>
        </w:rPr>
        <w:t>管理团队、专业人才信息，如：人员名册、聘用关系证明（如纳税证明、劳动合同、社保缴纳证明）、人员资质证书、职称证书等。</w:t>
      </w:r>
    </w:p>
    <w:p>
      <w:pPr>
        <w:spacing w:line="560" w:lineRule="exact"/>
        <w:ind w:firstLine="645"/>
        <w:jc w:val="left"/>
        <w:rPr>
          <w:rFonts w:hint="eastAsia"/>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十</w:t>
      </w:r>
      <w:r>
        <w:rPr>
          <w:rFonts w:hint="eastAsia" w:ascii="仿宋_GB2312" w:hAnsi="楷体_GB2312" w:eastAsia="仿宋_GB2312" w:cs="楷体_GB2312"/>
          <w:sz w:val="32"/>
          <w:szCs w:val="32"/>
        </w:rPr>
        <w:t>）</w:t>
      </w:r>
      <w:r>
        <w:rPr>
          <w:rFonts w:hint="eastAsia" w:ascii="仿宋_GB2312" w:hAnsi="仿宋_GB2312" w:eastAsia="仿宋_GB2312" w:cs="仿宋_GB2312"/>
          <w:color w:val="000000"/>
          <w:kern w:val="0"/>
          <w:sz w:val="32"/>
          <w:szCs w:val="32"/>
          <w:highlight w:val="none"/>
          <w:lang w:val="en-US" w:eastAsia="zh-CN"/>
        </w:rPr>
        <w:t>平台年度工作报告，如：平台运行情况、对接活动情况、宣传推广情况及成效证明材料。</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四</w:t>
      </w:r>
      <w:r>
        <w:rPr>
          <w:rFonts w:hint="eastAsia" w:ascii="仿宋_GB2312" w:hAnsi="宋体" w:eastAsia="黑体"/>
          <w:bCs/>
          <w:kern w:val="44"/>
          <w:sz w:val="32"/>
          <w:szCs w:val="44"/>
        </w:rPr>
        <w:t>、办理流程</w:t>
      </w:r>
    </w:p>
    <w:p>
      <w:pPr>
        <w:kinsoku w:val="0"/>
        <w:overflowPunct w:val="0"/>
        <w:autoSpaceDE w:val="0"/>
        <w:autoSpaceDN w:val="0"/>
        <w:spacing w:line="560" w:lineRule="exact"/>
        <w:ind w:firstLine="640" w:firstLineChars="200"/>
        <w:outlineLvl w:val="9"/>
        <w:rPr>
          <w:rFonts w:ascii="仿宋_GB2312" w:hAnsi="Calibri" w:eastAsia="仿宋_GB2312" w:cs="宋体"/>
          <w:sz w:val="32"/>
          <w:szCs w:val="32"/>
        </w:rPr>
      </w:pPr>
      <w:r>
        <w:rPr>
          <w:rFonts w:hint="eastAsia" w:ascii="仿宋_GB2312" w:hAnsi="Calibri" w:eastAsia="仿宋_GB2312"/>
          <w:sz w:val="32"/>
          <w:szCs w:val="32"/>
        </w:rPr>
        <w:t>申请单位网上申报--网上申报通过后申请单位提交</w:t>
      </w:r>
      <w:r>
        <w:rPr>
          <w:rFonts w:hint="eastAsia" w:ascii="仿宋_GB2312" w:hAnsi="Calibri" w:eastAsia="仿宋_GB2312"/>
          <w:sz w:val="32"/>
          <w:szCs w:val="32"/>
          <w:lang w:eastAsia="zh-CN"/>
        </w:rPr>
        <w:t>纸质</w:t>
      </w:r>
      <w:r>
        <w:rPr>
          <w:rFonts w:hint="eastAsia" w:ascii="仿宋_GB2312" w:hAnsi="Calibri" w:eastAsia="仿宋_GB2312"/>
          <w:sz w:val="32"/>
          <w:szCs w:val="32"/>
        </w:rPr>
        <w:t>材料--形式审查、技术审查--根据需要组织专家评审并会同相关部门核查并形成资金扶持方案--</w:t>
      </w:r>
      <w:r>
        <w:rPr>
          <w:rFonts w:hint="eastAsia" w:ascii="仿宋_GB2312" w:hAnsi="Calibri" w:eastAsia="仿宋_GB2312"/>
          <w:sz w:val="32"/>
          <w:szCs w:val="32"/>
          <w:lang w:eastAsia="zh-CN"/>
        </w:rPr>
        <w:t>按程序</w:t>
      </w:r>
      <w:r>
        <w:rPr>
          <w:rFonts w:hint="eastAsia" w:ascii="仿宋_GB2312" w:hAnsi="Calibri" w:eastAsia="仿宋_GB2312"/>
          <w:sz w:val="32"/>
          <w:szCs w:val="32"/>
        </w:rPr>
        <w:t>审定--社会公示--履行拨款程序。</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五</w:t>
      </w:r>
      <w:r>
        <w:rPr>
          <w:rFonts w:hint="eastAsia" w:ascii="仿宋_GB2312" w:hAnsi="宋体" w:eastAsia="黑体"/>
          <w:bCs/>
          <w:kern w:val="44"/>
          <w:sz w:val="32"/>
          <w:szCs w:val="44"/>
        </w:rPr>
        <w:t>、资金拨付</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申请单位应当在收到我局通知后，配合办理资金拨付手续。</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六</w:t>
      </w:r>
      <w:r>
        <w:rPr>
          <w:rFonts w:hint="eastAsia" w:ascii="仿宋_GB2312" w:hAnsi="宋体" w:eastAsia="黑体"/>
          <w:bCs/>
          <w:kern w:val="44"/>
          <w:sz w:val="32"/>
          <w:szCs w:val="44"/>
        </w:rPr>
        <w:t>、收费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无。</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七</w:t>
      </w:r>
      <w:r>
        <w:rPr>
          <w:rFonts w:hint="eastAsia" w:ascii="仿宋_GB2312" w:hAnsi="宋体" w:eastAsia="黑体"/>
          <w:bCs/>
          <w:kern w:val="44"/>
          <w:sz w:val="32"/>
          <w:szCs w:val="44"/>
        </w:rPr>
        <w:t>、年审或年检</w:t>
      </w:r>
    </w:p>
    <w:p>
      <w:pPr>
        <w:ind w:firstLine="640" w:firstLineChars="200"/>
        <w:rPr>
          <w:rFonts w:ascii="仿宋_GB2312" w:hAnsi="Calibri" w:eastAsia="仿宋_GB2312"/>
          <w:sz w:val="32"/>
          <w:szCs w:val="32"/>
        </w:rPr>
      </w:pPr>
      <w:r>
        <w:rPr>
          <w:rFonts w:hint="eastAsia" w:ascii="仿宋_GB2312" w:hAnsi="Calibri" w:eastAsia="仿宋_GB2312"/>
          <w:sz w:val="32"/>
          <w:szCs w:val="32"/>
        </w:rPr>
        <w:t>获得资金的申报单位要切实加强对专项资金的使用管理，自觉接受深圳市市场监督管理局光明监管局、财政部门、审计部门的监督检查，严格执行财务规章制度和会计核算办法并按要求完成</w:t>
      </w:r>
      <w:bookmarkStart w:id="0" w:name="_GoBack"/>
      <w:r>
        <w:rPr>
          <w:rFonts w:hint="eastAsia" w:ascii="仿宋_GB2312" w:hAnsi="Calibri" w:eastAsia="仿宋_GB2312"/>
          <w:b/>
          <w:bCs/>
          <w:sz w:val="32"/>
          <w:szCs w:val="32"/>
        </w:rPr>
        <w:t>绩效自评</w:t>
      </w:r>
      <w:bookmarkEnd w:id="0"/>
      <w:r>
        <w:rPr>
          <w:rFonts w:hint="eastAsia" w:ascii="仿宋_GB2312" w:hAnsi="Calibri" w:eastAsia="仿宋_GB2312"/>
          <w:sz w:val="32"/>
          <w:szCs w:val="32"/>
        </w:rPr>
        <w:t>。</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八</w:t>
      </w:r>
      <w:r>
        <w:rPr>
          <w:rFonts w:hint="eastAsia" w:ascii="仿宋_GB2312" w:hAnsi="宋体" w:eastAsia="黑体"/>
          <w:bCs/>
          <w:kern w:val="44"/>
          <w:sz w:val="32"/>
          <w:szCs w:val="44"/>
        </w:rPr>
        <w:t>、注意事项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（一）本</w:t>
      </w:r>
      <w:r>
        <w:rPr>
          <w:rFonts w:hint="eastAsia" w:ascii="仿宋_GB2312" w:hAnsi="Calibri" w:eastAsia="仿宋_GB2312" w:cs="Times New Roman"/>
          <w:sz w:val="32"/>
          <w:szCs w:val="32"/>
          <w:highlight w:val="none"/>
        </w:rPr>
        <w:t>指南</w:t>
      </w:r>
      <w:r>
        <w:rPr>
          <w:rFonts w:hint="eastAsia" w:ascii="仿宋_GB2312" w:hAnsi="Calibri" w:eastAsia="仿宋_GB2312" w:cs="Times New Roman"/>
          <w:sz w:val="32"/>
          <w:szCs w:val="32"/>
          <w:highlight w:val="none"/>
          <w:lang w:eastAsia="zh-CN"/>
        </w:rPr>
        <w:t>中提到的“上一年”均指</w:t>
      </w:r>
      <w:r>
        <w:rPr>
          <w:rFonts w:hint="eastAsia" w:ascii="仿宋_GB2312" w:hAnsi="Calibri" w:eastAsia="仿宋_GB2312" w:cs="Times New Roman"/>
          <w:b/>
          <w:bCs/>
          <w:sz w:val="32"/>
          <w:szCs w:val="32"/>
          <w:highlight w:val="none"/>
          <w:lang w:val="en-US" w:eastAsia="zh-CN"/>
        </w:rPr>
        <w:t>2024年</w:t>
      </w:r>
      <w:r>
        <w:rPr>
          <w:rFonts w:hint="eastAsia" w:ascii="仿宋_GB2312" w:hAnsi="Calibri" w:eastAsia="仿宋_GB2312"/>
          <w:sz w:val="32"/>
          <w:szCs w:val="32"/>
        </w:rPr>
        <w:t>。</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Calibri" w:eastAsia="仿宋_GB2312"/>
          <w:sz w:val="32"/>
          <w:szCs w:val="32"/>
        </w:rPr>
        <w:t>（二）我局从未委托任何机构或个人代理资金申报事宜，请项目单位自主申报项目。我局将严格按照有关标准和程序受理申请，不收取任何费用。如有任何机构或个人假借我局工作人员名义向企业收取费用的，请知情者向我局举报。</w:t>
      </w:r>
    </w:p>
    <w:sectPr>
      <w:footerReference r:id="rId3" w:type="default"/>
      <w:pgSz w:w="11906" w:h="16838"/>
      <w:pgMar w:top="1474" w:right="1416" w:bottom="1474"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仿宋_GB2312">
    <w:altName w:val="方正仿宋_GBK"/>
    <w:panose1 w:val="02010609030101010101"/>
    <w:charset w:val="86"/>
    <w:family w:val="modern"/>
    <w:pitch w:val="default"/>
    <w:sig w:usb0="00000000" w:usb1="00000000" w:usb2="00000000" w:usb3="00000000" w:csb0="00040000" w:csb1="00000000"/>
  </w:font>
  <w:font w:name="楷体_GB2312">
    <w:altName w:val="方正楷体_GBK"/>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仿宋_GB2312" w:eastAsia="仿宋_GB2312"/>
        <w:sz w:val="32"/>
        <w:szCs w:val="32"/>
      </w:rPr>
    </w:pPr>
    <w:r>
      <w:rPr>
        <w:rFonts w:hint="eastAsia" w:ascii="仿宋_GB2312" w:eastAsia="仿宋_GB2312"/>
        <w:sz w:val="32"/>
        <w:szCs w:val="32"/>
      </w:rPr>
      <w:fldChar w:fldCharType="begin"/>
    </w:r>
    <w:r>
      <w:rPr>
        <w:rFonts w:hint="eastAsia" w:ascii="仿宋_GB2312" w:eastAsia="仿宋_GB2312"/>
        <w:sz w:val="32"/>
        <w:szCs w:val="32"/>
      </w:rPr>
      <w:instrText xml:space="preserve">PAGE   \* MERGEFORMAT</w:instrText>
    </w:r>
    <w:r>
      <w:rPr>
        <w:rFonts w:hint="eastAsia" w:ascii="仿宋_GB2312" w:eastAsia="仿宋_GB2312"/>
        <w:sz w:val="32"/>
        <w:szCs w:val="32"/>
      </w:rPr>
      <w:fldChar w:fldCharType="separate"/>
    </w:r>
    <w:r>
      <w:rPr>
        <w:rFonts w:ascii="仿宋_GB2312" w:eastAsia="仿宋_GB2312"/>
        <w:sz w:val="32"/>
        <w:szCs w:val="32"/>
        <w:lang w:val="zh-CN"/>
      </w:rPr>
      <w:t>-</w:t>
    </w:r>
    <w:r>
      <w:rPr>
        <w:rFonts w:ascii="仿宋_GB2312" w:eastAsia="仿宋_GB2312"/>
        <w:sz w:val="32"/>
        <w:szCs w:val="32"/>
      </w:rPr>
      <w:t xml:space="preserve"> 16 -</w:t>
    </w:r>
    <w:r>
      <w:rPr>
        <w:rFonts w:hint="eastAsia" w:ascii="仿宋_GB2312" w:eastAsia="仿宋_GB2312"/>
        <w:sz w:val="32"/>
        <w:szCs w:val="32"/>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true"/>
  <w:embedTrueTypeFonts/>
  <w:saveSubsetFonts/>
  <w:bordersDoNotSurroundHeader w:val="false"/>
  <w:bordersDoNotSurroundFooter w:val="false"/>
  <w:documentProtection w:enforcement="0"/>
  <w:defaultTabStop w:val="420"/>
  <w:drawingGridHorizontalSpacing w:val="105"/>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2YzZmMGI3NDVmYTY3ZjliNDU2NTJhZGE0OTg3MjcifQ=="/>
  </w:docVars>
  <w:rsids>
    <w:rsidRoot w:val="007869BC"/>
    <w:rsid w:val="000060BB"/>
    <w:rsid w:val="00011A37"/>
    <w:rsid w:val="0009137C"/>
    <w:rsid w:val="000A7390"/>
    <w:rsid w:val="000E6923"/>
    <w:rsid w:val="000F7F7C"/>
    <w:rsid w:val="001205D2"/>
    <w:rsid w:val="001D0940"/>
    <w:rsid w:val="001E0C80"/>
    <w:rsid w:val="001E2061"/>
    <w:rsid w:val="001E6AD3"/>
    <w:rsid w:val="002350E1"/>
    <w:rsid w:val="00254317"/>
    <w:rsid w:val="00255DB6"/>
    <w:rsid w:val="002B1CC2"/>
    <w:rsid w:val="002D4B19"/>
    <w:rsid w:val="00310B20"/>
    <w:rsid w:val="0032374A"/>
    <w:rsid w:val="00324BCF"/>
    <w:rsid w:val="00374A1C"/>
    <w:rsid w:val="00381D71"/>
    <w:rsid w:val="003D286C"/>
    <w:rsid w:val="003F54D7"/>
    <w:rsid w:val="00406F2C"/>
    <w:rsid w:val="00417FB9"/>
    <w:rsid w:val="0042422E"/>
    <w:rsid w:val="0042530B"/>
    <w:rsid w:val="00437FAF"/>
    <w:rsid w:val="00445F5C"/>
    <w:rsid w:val="0046233F"/>
    <w:rsid w:val="0046453C"/>
    <w:rsid w:val="004C3241"/>
    <w:rsid w:val="004C36A8"/>
    <w:rsid w:val="00592F20"/>
    <w:rsid w:val="00596668"/>
    <w:rsid w:val="005D45D6"/>
    <w:rsid w:val="00655C57"/>
    <w:rsid w:val="00666612"/>
    <w:rsid w:val="006676AC"/>
    <w:rsid w:val="0069636B"/>
    <w:rsid w:val="006D1316"/>
    <w:rsid w:val="00700A67"/>
    <w:rsid w:val="00702F4A"/>
    <w:rsid w:val="00714E61"/>
    <w:rsid w:val="00717DE8"/>
    <w:rsid w:val="00725CEB"/>
    <w:rsid w:val="007726AC"/>
    <w:rsid w:val="007869BC"/>
    <w:rsid w:val="0079188B"/>
    <w:rsid w:val="007D113C"/>
    <w:rsid w:val="007D25A0"/>
    <w:rsid w:val="007F64C9"/>
    <w:rsid w:val="00837FD1"/>
    <w:rsid w:val="00847DC9"/>
    <w:rsid w:val="008759A2"/>
    <w:rsid w:val="008D3189"/>
    <w:rsid w:val="008D65BE"/>
    <w:rsid w:val="008F0EAF"/>
    <w:rsid w:val="009022DF"/>
    <w:rsid w:val="00913AFE"/>
    <w:rsid w:val="009F2249"/>
    <w:rsid w:val="00A110D0"/>
    <w:rsid w:val="00A32359"/>
    <w:rsid w:val="00A469D2"/>
    <w:rsid w:val="00AD7BF5"/>
    <w:rsid w:val="00B27EAF"/>
    <w:rsid w:val="00B31C26"/>
    <w:rsid w:val="00B40EAB"/>
    <w:rsid w:val="00B65BD6"/>
    <w:rsid w:val="00B86DB4"/>
    <w:rsid w:val="00B91A76"/>
    <w:rsid w:val="00BE4F7C"/>
    <w:rsid w:val="00C3731D"/>
    <w:rsid w:val="00C9640F"/>
    <w:rsid w:val="00CA04A3"/>
    <w:rsid w:val="00CC57C2"/>
    <w:rsid w:val="00CE559E"/>
    <w:rsid w:val="00D02A07"/>
    <w:rsid w:val="00D56171"/>
    <w:rsid w:val="00D964A3"/>
    <w:rsid w:val="00D97888"/>
    <w:rsid w:val="00DC1F3F"/>
    <w:rsid w:val="00E35025"/>
    <w:rsid w:val="00E55523"/>
    <w:rsid w:val="00ED5984"/>
    <w:rsid w:val="00F059BB"/>
    <w:rsid w:val="00F61AEA"/>
    <w:rsid w:val="00F7030D"/>
    <w:rsid w:val="00FC58F4"/>
    <w:rsid w:val="021608E1"/>
    <w:rsid w:val="02E46B9D"/>
    <w:rsid w:val="035064B6"/>
    <w:rsid w:val="03681C3C"/>
    <w:rsid w:val="04E21E5F"/>
    <w:rsid w:val="07243DBF"/>
    <w:rsid w:val="0ABF004E"/>
    <w:rsid w:val="0AF84D17"/>
    <w:rsid w:val="0C0F70F9"/>
    <w:rsid w:val="0C513A88"/>
    <w:rsid w:val="0CB832EC"/>
    <w:rsid w:val="0D325F2D"/>
    <w:rsid w:val="106D0892"/>
    <w:rsid w:val="109024B1"/>
    <w:rsid w:val="124D44D7"/>
    <w:rsid w:val="12530AB8"/>
    <w:rsid w:val="13C17950"/>
    <w:rsid w:val="13C46041"/>
    <w:rsid w:val="14FA090F"/>
    <w:rsid w:val="16956BC5"/>
    <w:rsid w:val="176833EC"/>
    <w:rsid w:val="1865390F"/>
    <w:rsid w:val="186D30FE"/>
    <w:rsid w:val="18C31B6E"/>
    <w:rsid w:val="1BAD1FB6"/>
    <w:rsid w:val="1BC923DA"/>
    <w:rsid w:val="1BE44C1C"/>
    <w:rsid w:val="1C0E2F29"/>
    <w:rsid w:val="1D185152"/>
    <w:rsid w:val="1D5E3A3C"/>
    <w:rsid w:val="1D7338BD"/>
    <w:rsid w:val="1E1B192D"/>
    <w:rsid w:val="1E366767"/>
    <w:rsid w:val="1E604B3F"/>
    <w:rsid w:val="1F0472EE"/>
    <w:rsid w:val="1FDE6F42"/>
    <w:rsid w:val="20515ADA"/>
    <w:rsid w:val="21326193"/>
    <w:rsid w:val="21B100DE"/>
    <w:rsid w:val="228914BF"/>
    <w:rsid w:val="232C6AF6"/>
    <w:rsid w:val="25C150D2"/>
    <w:rsid w:val="2623574F"/>
    <w:rsid w:val="26410880"/>
    <w:rsid w:val="27E2526A"/>
    <w:rsid w:val="2A181124"/>
    <w:rsid w:val="2A297180"/>
    <w:rsid w:val="2C0529E2"/>
    <w:rsid w:val="2D7367B0"/>
    <w:rsid w:val="2DE57862"/>
    <w:rsid w:val="2ED605FF"/>
    <w:rsid w:val="2FB71E20"/>
    <w:rsid w:val="30551017"/>
    <w:rsid w:val="306C1B7D"/>
    <w:rsid w:val="30A27D54"/>
    <w:rsid w:val="30DD4C1E"/>
    <w:rsid w:val="31EA18EB"/>
    <w:rsid w:val="32275720"/>
    <w:rsid w:val="324E7351"/>
    <w:rsid w:val="32B83874"/>
    <w:rsid w:val="347D0DB4"/>
    <w:rsid w:val="351F7AFD"/>
    <w:rsid w:val="35415F83"/>
    <w:rsid w:val="365B70E1"/>
    <w:rsid w:val="370229E4"/>
    <w:rsid w:val="37030280"/>
    <w:rsid w:val="375647F4"/>
    <w:rsid w:val="38DD3F57"/>
    <w:rsid w:val="39BA7DF4"/>
    <w:rsid w:val="39F5772D"/>
    <w:rsid w:val="3AC30F2B"/>
    <w:rsid w:val="3AFB388B"/>
    <w:rsid w:val="3C83436B"/>
    <w:rsid w:val="3E3E3CEC"/>
    <w:rsid w:val="3FD12086"/>
    <w:rsid w:val="41044B95"/>
    <w:rsid w:val="411062EB"/>
    <w:rsid w:val="41B810BD"/>
    <w:rsid w:val="42BC2E2F"/>
    <w:rsid w:val="456A0F59"/>
    <w:rsid w:val="45C0125A"/>
    <w:rsid w:val="45C066F8"/>
    <w:rsid w:val="461E46EC"/>
    <w:rsid w:val="48024430"/>
    <w:rsid w:val="482F3EE8"/>
    <w:rsid w:val="48706D25"/>
    <w:rsid w:val="48717430"/>
    <w:rsid w:val="48A216B1"/>
    <w:rsid w:val="48E4412C"/>
    <w:rsid w:val="49536469"/>
    <w:rsid w:val="49C306E3"/>
    <w:rsid w:val="4B342F2D"/>
    <w:rsid w:val="4C282587"/>
    <w:rsid w:val="4CB8347F"/>
    <w:rsid w:val="4CCB6691"/>
    <w:rsid w:val="4CFF0DB6"/>
    <w:rsid w:val="4D0915E6"/>
    <w:rsid w:val="4E125FF9"/>
    <w:rsid w:val="4E630603"/>
    <w:rsid w:val="4EAF50F9"/>
    <w:rsid w:val="4EC32979"/>
    <w:rsid w:val="4EE72FE2"/>
    <w:rsid w:val="4F0D7FC7"/>
    <w:rsid w:val="4FC6615D"/>
    <w:rsid w:val="4FD244A3"/>
    <w:rsid w:val="50C815E0"/>
    <w:rsid w:val="515A6EDA"/>
    <w:rsid w:val="521B4FA9"/>
    <w:rsid w:val="523B1EEE"/>
    <w:rsid w:val="5479292E"/>
    <w:rsid w:val="55CE0F0C"/>
    <w:rsid w:val="55DB13C7"/>
    <w:rsid w:val="564A30B5"/>
    <w:rsid w:val="565B5006"/>
    <w:rsid w:val="568E6619"/>
    <w:rsid w:val="56D4712F"/>
    <w:rsid w:val="57487A8C"/>
    <w:rsid w:val="57CC0FC7"/>
    <w:rsid w:val="580C13CB"/>
    <w:rsid w:val="59957B52"/>
    <w:rsid w:val="59A029E0"/>
    <w:rsid w:val="59B85CA7"/>
    <w:rsid w:val="59C06B4D"/>
    <w:rsid w:val="59CC6E16"/>
    <w:rsid w:val="5BE11D53"/>
    <w:rsid w:val="5C1133F9"/>
    <w:rsid w:val="5C142195"/>
    <w:rsid w:val="5C311D40"/>
    <w:rsid w:val="5C366FAA"/>
    <w:rsid w:val="5D887B53"/>
    <w:rsid w:val="60B5441C"/>
    <w:rsid w:val="61B0127A"/>
    <w:rsid w:val="62255EA3"/>
    <w:rsid w:val="62557F41"/>
    <w:rsid w:val="63610D97"/>
    <w:rsid w:val="648A1A8D"/>
    <w:rsid w:val="657257F0"/>
    <w:rsid w:val="670C5799"/>
    <w:rsid w:val="676F0077"/>
    <w:rsid w:val="680A5F81"/>
    <w:rsid w:val="6A197339"/>
    <w:rsid w:val="6AE3680B"/>
    <w:rsid w:val="6CB70040"/>
    <w:rsid w:val="6D176D30"/>
    <w:rsid w:val="6DA57B0C"/>
    <w:rsid w:val="707029DF"/>
    <w:rsid w:val="70CC2F58"/>
    <w:rsid w:val="718379A0"/>
    <w:rsid w:val="72100309"/>
    <w:rsid w:val="72B833E8"/>
    <w:rsid w:val="73182E18"/>
    <w:rsid w:val="733F1B9F"/>
    <w:rsid w:val="745A2518"/>
    <w:rsid w:val="74DF1F32"/>
    <w:rsid w:val="7685067F"/>
    <w:rsid w:val="76D55E75"/>
    <w:rsid w:val="777161B8"/>
    <w:rsid w:val="77720685"/>
    <w:rsid w:val="78947487"/>
    <w:rsid w:val="79200294"/>
    <w:rsid w:val="793E115E"/>
    <w:rsid w:val="7991214A"/>
    <w:rsid w:val="79C1030D"/>
    <w:rsid w:val="7A3E2CEF"/>
    <w:rsid w:val="7A870405"/>
    <w:rsid w:val="7B6273C9"/>
    <w:rsid w:val="7C352D2F"/>
    <w:rsid w:val="7DCE5232"/>
    <w:rsid w:val="7E634C51"/>
    <w:rsid w:val="7E71525D"/>
    <w:rsid w:val="7F6D6098"/>
    <w:rsid w:val="7F776E24"/>
    <w:rsid w:val="7FD14B1D"/>
    <w:rsid w:val="7FF833F1"/>
    <w:rsid w:val="979F8F54"/>
    <w:rsid w:val="EF7FBF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spacing w:before="100" w:beforeAutospacing="1" w:after="100" w:afterAutospacing="1"/>
      <w:jc w:val="left"/>
      <w:outlineLvl w:val="0"/>
    </w:pPr>
    <w:rPr>
      <w:rFonts w:hint="eastAsia" w:ascii="宋体" w:hAnsi="宋体"/>
      <w:b/>
      <w:bCs/>
      <w:kern w:val="44"/>
      <w:sz w:val="48"/>
      <w:szCs w:val="4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06"/>
    </w:pPr>
    <w:rPr>
      <w:rFonts w:ascii="宋体" w:hAnsi="宋体" w:cs="宋体"/>
      <w:sz w:val="32"/>
      <w:szCs w:val="32"/>
      <w:lang w:val="zh-CN" w:bidi="zh-CN"/>
    </w:rPr>
  </w:style>
  <w:style w:type="paragraph" w:styleId="4">
    <w:name w:val="annotation text"/>
    <w:basedOn w:val="1"/>
    <w:link w:val="14"/>
    <w:unhideWhenUsed/>
    <w:qFormat/>
    <w:uiPriority w:val="99"/>
    <w:pPr>
      <w:jc w:val="left"/>
    </w:pPr>
  </w:style>
  <w:style w:type="paragraph" w:styleId="5">
    <w:name w:val="Balloon Text"/>
    <w:basedOn w:val="1"/>
    <w:link w:val="15"/>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qFormat/>
    <w:uiPriority w:val="0"/>
    <w:pPr>
      <w:jc w:val="center"/>
      <w:outlineLvl w:val="0"/>
    </w:pPr>
    <w:rPr>
      <w:rFonts w:ascii="Arial" w:hAnsi="Arial"/>
      <w:b/>
      <w:sz w:val="32"/>
    </w:rPr>
  </w:style>
  <w:style w:type="paragraph" w:styleId="9">
    <w:name w:val="annotation subject"/>
    <w:basedOn w:val="4"/>
    <w:next w:val="4"/>
    <w:link w:val="18"/>
    <w:unhideWhenUsed/>
    <w:qFormat/>
    <w:uiPriority w:val="99"/>
    <w:rPr>
      <w:b/>
      <w:bCs/>
    </w:rPr>
  </w:style>
  <w:style w:type="paragraph" w:styleId="10">
    <w:name w:val="Body Text First Indent"/>
    <w:basedOn w:val="2"/>
    <w:unhideWhenUsed/>
    <w:qFormat/>
    <w:uiPriority w:val="99"/>
    <w:pPr>
      <w:ind w:firstLine="420" w:firstLineChars="100"/>
    </w:pPr>
  </w:style>
  <w:style w:type="character" w:styleId="13">
    <w:name w:val="annotation reference"/>
    <w:basedOn w:val="12"/>
    <w:unhideWhenUsed/>
    <w:qFormat/>
    <w:uiPriority w:val="99"/>
    <w:rPr>
      <w:sz w:val="21"/>
      <w:szCs w:val="21"/>
    </w:rPr>
  </w:style>
  <w:style w:type="character" w:customStyle="1" w:styleId="14">
    <w:name w:val="批注文字 字符"/>
    <w:basedOn w:val="12"/>
    <w:link w:val="4"/>
    <w:semiHidden/>
    <w:qFormat/>
    <w:uiPriority w:val="99"/>
    <w:rPr>
      <w:kern w:val="2"/>
      <w:sz w:val="21"/>
      <w:szCs w:val="22"/>
    </w:rPr>
  </w:style>
  <w:style w:type="character" w:customStyle="1" w:styleId="15">
    <w:name w:val="批注框文本 字符"/>
    <w:basedOn w:val="12"/>
    <w:link w:val="5"/>
    <w:semiHidden/>
    <w:qFormat/>
    <w:uiPriority w:val="99"/>
    <w:rPr>
      <w:kern w:val="2"/>
      <w:sz w:val="18"/>
      <w:szCs w:val="18"/>
    </w:rPr>
  </w:style>
  <w:style w:type="character" w:customStyle="1" w:styleId="16">
    <w:name w:val="页脚 字符"/>
    <w:link w:val="6"/>
    <w:qFormat/>
    <w:uiPriority w:val="99"/>
    <w:rPr>
      <w:kern w:val="2"/>
      <w:sz w:val="18"/>
      <w:szCs w:val="18"/>
    </w:rPr>
  </w:style>
  <w:style w:type="character" w:customStyle="1" w:styleId="17">
    <w:name w:val="页眉 字符"/>
    <w:link w:val="7"/>
    <w:qFormat/>
    <w:uiPriority w:val="99"/>
    <w:rPr>
      <w:kern w:val="2"/>
      <w:sz w:val="18"/>
      <w:szCs w:val="18"/>
    </w:rPr>
  </w:style>
  <w:style w:type="character" w:customStyle="1" w:styleId="18">
    <w:name w:val="批注主题 字符"/>
    <w:basedOn w:val="14"/>
    <w:link w:val="9"/>
    <w:semiHidden/>
    <w:qFormat/>
    <w:uiPriority w:val="99"/>
    <w:rPr>
      <w:b/>
      <w:bCs/>
      <w:kern w:val="2"/>
      <w:sz w:val="21"/>
      <w:szCs w:val="22"/>
    </w:rPr>
  </w:style>
  <w:style w:type="paragraph" w:customStyle="1" w:styleId="19">
    <w:name w:val="Revision"/>
    <w:hidden/>
    <w:semiHidden/>
    <w:qFormat/>
    <w:uiPriority w:val="99"/>
    <w:rPr>
      <w:rFonts w:ascii="Times New Roman" w:hAnsi="Times New Roman" w:eastAsia="宋体" w:cs="Times New Roman"/>
      <w:kern w:val="2"/>
      <w:sz w:val="21"/>
      <w:szCs w:val="22"/>
      <w:lang w:val="en-US" w:eastAsia="zh-CN" w:bidi="ar-SA"/>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1262</Words>
  <Characters>1318</Characters>
  <Lines>63</Lines>
  <Paragraphs>17</Paragraphs>
  <TotalTime>2</TotalTime>
  <ScaleCrop>false</ScaleCrop>
  <LinksUpToDate>false</LinksUpToDate>
  <CharactersWithSpaces>1325</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2021-05-24T08:16:00Z</dcterms:created>
  <dc:creator>740095076@qq.com</dc:creator>
  <cp:lastModifiedBy>daiww</cp:lastModifiedBy>
  <cp:lastPrinted>2022-10-11T01:54:00Z</cp:lastPrinted>
  <dcterms:modified xsi:type="dcterms:W3CDTF">2025-07-08T15:09:51Z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B0407ACE618A4D0E9A74B56F698D7A6A</vt:lpwstr>
  </property>
  <property fmtid="{D5CDD505-2E9C-101B-9397-08002B2CF9AE}" pid="4" name="KSOTemplateDocerSaveRecord">
    <vt:lpwstr>eyJoZGlkIjoiYzgxZjBjOTVkY2I1Njc2ZTgzMmFlYTFlYzg0YmQ1MDYiLCJ1c2VySWQiOiI2NjA2ODMwNDYifQ==</vt:lpwstr>
  </property>
</Properties>
</file>