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wordWrap/>
        <w:overflowPunct/>
        <w:topLinePunct w:val="0"/>
        <w:bidi w:val="0"/>
        <w:spacing w:before="0" w:beforeAutospacing="0" w:after="0" w:afterAutospacing="0" w:line="560" w:lineRule="exact"/>
        <w:jc w:val="left"/>
        <w:rPr>
          <w:rFonts w:hint="eastAsia" w:ascii="方正黑体_GBK" w:hAnsi="方正黑体_GBK" w:eastAsia="方正黑体_GBK" w:cs="方正黑体_GBK"/>
          <w:sz w:val="44"/>
          <w:szCs w:val="44"/>
          <w:highlight w:val="none"/>
          <w:lang w:val="en-US" w:eastAsia="zh-CN"/>
        </w:rPr>
      </w:pPr>
      <w:r>
        <w:rPr>
          <w:rFonts w:hint="eastAsia" w:ascii="方正黑体_GBK" w:hAnsi="方正黑体_GBK" w:eastAsia="方正黑体_GBK" w:cs="方正黑体_GBK"/>
          <w:sz w:val="32"/>
          <w:szCs w:val="32"/>
          <w:lang w:val="en-US" w:eastAsia="zh-CN"/>
        </w:rPr>
        <w:t>附件</w:t>
      </w:r>
      <w:r>
        <w:rPr>
          <w:rFonts w:hint="eastAsia" w:ascii="方正黑体_GBK" w:hAnsi="方正黑体_GBK" w:eastAsia="方正黑体_GBK" w:cs="方正黑体_GBK"/>
          <w:sz w:val="32"/>
          <w:szCs w:val="32"/>
          <w:lang w:val="en-US" w:eastAsia="zh-CN"/>
        </w:rPr>
        <w:t>1</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2025年深圳市中小企业数字化转型城市试点第二批中小企业数字化改造专项支持</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项目申报指南</w:t>
      </w:r>
    </w:p>
    <w:p>
      <w:pPr>
        <w:pageBreakBefore w:val="0"/>
        <w:wordWrap/>
        <w:overflowPunct/>
        <w:topLinePunct w:val="0"/>
        <w:bidi w:val="0"/>
        <w:spacing w:line="560" w:lineRule="exact"/>
        <w:ind w:left="0" w:leftChars="0" w:firstLine="0" w:firstLineChars="0"/>
        <w:jc w:val="left"/>
        <w:rPr>
          <w:rFonts w:hint="default" w:ascii="Times New Roman" w:hAnsi="Times New Roman" w:eastAsia="仿宋_GB2312" w:cs="Times New Roman"/>
          <w:sz w:val="32"/>
          <w:szCs w:val="32"/>
          <w:lang w:val="en-US" w:eastAsia="zh-CN"/>
        </w:rPr>
      </w:pPr>
    </w:p>
    <w:p>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一、资助类别</w:t>
      </w:r>
    </w:p>
    <w:p>
      <w:pPr>
        <w:keepNext w:val="0"/>
        <w:keepLines w:val="0"/>
        <w:pageBreakBefore w:val="0"/>
        <w:widowControl/>
        <w:suppressLineNumbers w:val="0"/>
        <w:wordWrap/>
        <w:overflowPunct/>
        <w:topLinePunct w:val="0"/>
        <w:bidi w:val="0"/>
        <w:spacing w:line="560" w:lineRule="exact"/>
        <w:ind w:firstLine="642" w:firstLineChars="200"/>
        <w:jc w:val="both"/>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val="0"/>
          <w:sz w:val="32"/>
          <w:szCs w:val="32"/>
          <w:lang w:val="en-US" w:eastAsia="zh-CN" w:bidi="ar"/>
        </w:rPr>
        <w:t>中小企业数字化改造项目。</w:t>
      </w:r>
      <w:r>
        <w:rPr>
          <w:rFonts w:ascii="仿宋_GB2312" w:hAnsi="仿宋_GB2312" w:eastAsia="仿宋_GB2312" w:cs="仿宋_GB2312"/>
          <w:color w:val="000000"/>
          <w:kern w:val="0"/>
          <w:sz w:val="32"/>
          <w:szCs w:val="32"/>
          <w:lang w:val="en-US" w:eastAsia="zh-CN" w:bidi="ar"/>
        </w:rPr>
        <w:t>对列入国家试点工作的智能机器人、</w:t>
      </w:r>
      <w:r>
        <w:rPr>
          <w:rFonts w:hint="eastAsia" w:ascii="仿宋_GB2312" w:hAnsi="仿宋_GB2312" w:eastAsia="仿宋_GB2312" w:cs="仿宋_GB2312"/>
          <w:color w:val="000000"/>
          <w:kern w:val="0"/>
          <w:sz w:val="32"/>
          <w:szCs w:val="32"/>
          <w:lang w:val="en-US" w:eastAsia="zh-CN" w:bidi="ar"/>
        </w:rPr>
        <w:t>半导体与集成电路</w:t>
      </w:r>
      <w:r>
        <w:rPr>
          <w:rFonts w:ascii="仿宋_GB2312" w:hAnsi="仿宋_GB2312" w:eastAsia="仿宋_GB2312" w:cs="仿宋_GB2312"/>
          <w:color w:val="000000"/>
          <w:kern w:val="0"/>
          <w:sz w:val="32"/>
          <w:szCs w:val="32"/>
          <w:lang w:val="en-US" w:eastAsia="zh-CN" w:bidi="ar"/>
        </w:rPr>
        <w:t>、精密仪器设备等三大试点行业中小企业，由</w:t>
      </w:r>
      <w:r>
        <w:rPr>
          <w:rFonts w:hint="eastAsia" w:ascii="仿宋_GB2312" w:hAnsi="仿宋_GB2312" w:eastAsia="仿宋_GB2312" w:cs="仿宋_GB2312"/>
          <w:color w:val="000000"/>
          <w:kern w:val="0"/>
          <w:sz w:val="32"/>
          <w:szCs w:val="32"/>
          <w:lang w:val="en-US" w:eastAsia="zh-CN" w:bidi="ar"/>
        </w:rPr>
        <w:t>其</w:t>
      </w:r>
      <w:r>
        <w:rPr>
          <w:rFonts w:ascii="仿宋_GB2312" w:hAnsi="仿宋_GB2312" w:eastAsia="仿宋_GB2312" w:cs="仿宋_GB2312"/>
          <w:color w:val="000000"/>
          <w:kern w:val="0"/>
          <w:sz w:val="32"/>
          <w:szCs w:val="32"/>
          <w:lang w:val="en-US" w:eastAsia="zh-CN" w:bidi="ar"/>
        </w:rPr>
        <w:t>选择数字化服务商进行数字化改造，投入与数字化改造相关的软件、云服务，以及网关、路由等</w:t>
      </w:r>
      <w:r>
        <w:rPr>
          <w:rFonts w:hint="eastAsia" w:ascii="宋体" w:hAnsi="宋体" w:eastAsia="宋体" w:cs="宋体"/>
          <w:color w:val="000000"/>
          <w:kern w:val="0"/>
          <w:sz w:val="32"/>
          <w:szCs w:val="32"/>
          <w:lang w:val="en-US" w:eastAsia="zh-CN" w:bidi="ar"/>
        </w:rPr>
        <w:t>必</w:t>
      </w:r>
      <w:r>
        <w:rPr>
          <w:rFonts w:ascii="仿宋_GB2312" w:hAnsi="仿宋_GB2312" w:eastAsia="仿宋_GB2312" w:cs="仿宋_GB2312"/>
          <w:color w:val="000000"/>
          <w:kern w:val="0"/>
          <w:sz w:val="32"/>
          <w:szCs w:val="32"/>
          <w:lang w:val="en-US" w:eastAsia="zh-CN" w:bidi="ar"/>
        </w:rPr>
        <w:t>要的数据采集传</w:t>
      </w:r>
      <w:r>
        <w:rPr>
          <w:rFonts w:hint="eastAsia" w:ascii="宋体" w:hAnsi="宋体" w:eastAsia="宋体" w:cs="宋体"/>
          <w:color w:val="000000"/>
          <w:kern w:val="0"/>
          <w:sz w:val="32"/>
          <w:szCs w:val="32"/>
          <w:lang w:val="en-US" w:eastAsia="zh-CN" w:bidi="ar"/>
        </w:rPr>
        <w:t>输</w:t>
      </w:r>
      <w:r>
        <w:rPr>
          <w:rFonts w:ascii="仿宋_GB2312" w:hAnsi="仿宋_GB2312" w:eastAsia="仿宋_GB2312" w:cs="仿宋_GB2312"/>
          <w:color w:val="000000"/>
          <w:kern w:val="0"/>
          <w:sz w:val="32"/>
          <w:szCs w:val="32"/>
          <w:lang w:val="en-US" w:eastAsia="zh-CN" w:bidi="ar"/>
        </w:rPr>
        <w:t>设备的数字化改造项目给</w:t>
      </w:r>
      <w:r>
        <w:rPr>
          <w:rFonts w:hint="eastAsia" w:ascii="宋体" w:hAnsi="宋体" w:eastAsia="宋体" w:cs="宋体"/>
          <w:color w:val="000000"/>
          <w:kern w:val="0"/>
          <w:sz w:val="32"/>
          <w:szCs w:val="32"/>
          <w:lang w:val="en-US" w:eastAsia="zh-CN" w:bidi="ar"/>
        </w:rPr>
        <w:t>予</w:t>
      </w:r>
      <w:r>
        <w:rPr>
          <w:rFonts w:ascii="仿宋_GB2312" w:hAnsi="仿宋_GB2312" w:eastAsia="仿宋_GB2312" w:cs="仿宋_GB2312"/>
          <w:color w:val="000000"/>
          <w:kern w:val="0"/>
          <w:sz w:val="32"/>
          <w:szCs w:val="32"/>
          <w:lang w:val="en-US" w:eastAsia="zh-CN" w:bidi="ar"/>
        </w:rPr>
        <w:t>补贴。</w:t>
      </w:r>
    </w:p>
    <w:p>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pPr>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24"/>
          <w:lang w:val="en-US" w:eastAsia="zh-CN" w:bidi="ar"/>
        </w:rPr>
      </w:pPr>
      <w:r>
        <w:rPr>
          <w:rFonts w:hint="eastAsia" w:ascii="仿宋_GB2312" w:hAnsi="仿宋_GB2312" w:eastAsia="仿宋_GB2312" w:cs="仿宋_GB2312"/>
          <w:snapToGrid/>
          <w:color w:val="auto"/>
          <w:kern w:val="2"/>
          <w:sz w:val="32"/>
          <w:szCs w:val="24"/>
          <w:lang w:val="en-US" w:eastAsia="zh-CN" w:bidi="ar"/>
        </w:rPr>
        <w:t>（一）《财政部 工业和信息化部关于开展中小企业数字化转型试点工作的通知》（财建〔2023〕117号）；</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snapToGrid/>
          <w:color w:val="auto"/>
          <w:kern w:val="2"/>
          <w:sz w:val="32"/>
          <w:szCs w:val="24"/>
          <w:highlight w:val="yellow"/>
          <w:lang w:val="en-US" w:eastAsia="zh-CN" w:bidi="ar"/>
        </w:rPr>
      </w:pPr>
      <w:r>
        <w:rPr>
          <w:rFonts w:hint="eastAsia" w:ascii="仿宋_GB2312" w:hAnsi="仿宋_GB2312" w:eastAsia="仿宋_GB2312" w:cs="仿宋_GB2312"/>
          <w:snapToGrid/>
          <w:color w:val="auto"/>
          <w:kern w:val="2"/>
          <w:sz w:val="32"/>
          <w:szCs w:val="24"/>
          <w:lang w:val="en-US" w:eastAsia="zh-CN" w:bidi="ar"/>
        </w:rPr>
        <w:t>（二）</w:t>
      </w:r>
      <w:r>
        <w:rPr>
          <w:rFonts w:hint="eastAsia" w:ascii="仿宋_GB2312" w:hAnsi="仿宋_GB2312" w:eastAsia="仿宋_GB2312" w:cs="仿宋_GB2312"/>
          <w:snapToGrid/>
          <w:color w:val="auto"/>
          <w:kern w:val="2"/>
          <w:sz w:val="32"/>
          <w:szCs w:val="24"/>
          <w:highlight w:val="none"/>
          <w:lang w:val="en-US" w:eastAsia="zh-CN" w:bidi="ar"/>
        </w:rPr>
        <w:t>《深圳市中小企业服务局中小企业数字化转型城市试点资金支持实施细则》（深中小企规〔2024〕2号）。</w:t>
      </w:r>
    </w:p>
    <w:p>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资助的标准、金额和方式</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（一）资助的</w:t>
      </w:r>
      <w:r>
        <w:rPr>
          <w:rFonts w:hint="eastAsia" w:ascii="楷体_GB2312" w:hAnsi="楷体_GB2312" w:eastAsia="楷体_GB2312" w:cs="楷体_GB2312"/>
          <w:b/>
          <w:bCs/>
          <w:color w:val="auto"/>
          <w:kern w:val="0"/>
          <w:sz w:val="32"/>
          <w:szCs w:val="32"/>
          <w:highlight w:val="none"/>
        </w:rPr>
        <w:t>标准</w:t>
      </w:r>
    </w:p>
    <w:p>
      <w:pPr>
        <w:keepNext w:val="0"/>
        <w:keepLines w:val="0"/>
        <w:pageBreakBefore w:val="0"/>
        <w:widowControl w:val="0"/>
        <w:suppressLineNumbers w:val="0"/>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kern w:val="0"/>
          <w:sz w:val="31"/>
          <w:szCs w:val="31"/>
          <w:lang w:val="en-US" w:eastAsia="zh-CN" w:bidi="ar"/>
        </w:rPr>
      </w:pPr>
      <w:r>
        <w:rPr>
          <w:rFonts w:hint="eastAsia" w:ascii="Times New Roman" w:hAnsi="Times New Roman" w:eastAsia="仿宋_GB2312" w:cs="Times New Roman"/>
          <w:snapToGrid/>
          <w:color w:val="auto"/>
          <w:kern w:val="2"/>
          <w:sz w:val="32"/>
          <w:szCs w:val="24"/>
          <w:lang w:val="en-US" w:eastAsia="zh-CN" w:bidi="ar"/>
        </w:rPr>
        <w:t>根据《</w:t>
      </w:r>
      <w:r>
        <w:rPr>
          <w:rFonts w:hint="eastAsia" w:ascii="Times New Roman" w:hAnsi="Times New Roman" w:eastAsia="仿宋_GB2312" w:cs="Times New Roman"/>
          <w:snapToGrid/>
          <w:color w:val="auto"/>
          <w:kern w:val="2"/>
          <w:sz w:val="32"/>
          <w:szCs w:val="24"/>
          <w:highlight w:val="none"/>
          <w:lang w:val="en-US" w:eastAsia="zh-CN" w:bidi="ar"/>
        </w:rPr>
        <w:t>深圳市中小企业服务局中小企业数字化转型城市试点资金支持实施细</w:t>
      </w:r>
      <w:r>
        <w:rPr>
          <w:rFonts w:hint="eastAsia" w:ascii="仿宋_GB2312" w:hAnsi="仿宋_GB2312" w:eastAsia="仿宋_GB2312" w:cs="仿宋_GB2312"/>
          <w:snapToGrid/>
          <w:color w:val="auto"/>
          <w:kern w:val="2"/>
          <w:sz w:val="32"/>
          <w:szCs w:val="24"/>
          <w:highlight w:val="none"/>
          <w:lang w:val="en-US" w:eastAsia="zh-CN" w:bidi="ar"/>
        </w:rPr>
        <w:t>则</w:t>
      </w:r>
      <w:r>
        <w:rPr>
          <w:rFonts w:hint="eastAsia" w:ascii="仿宋_GB2312" w:hAnsi="仿宋_GB2312" w:eastAsia="仿宋_GB2312" w:cs="仿宋_GB2312"/>
          <w:snapToGrid/>
          <w:color w:val="auto"/>
          <w:kern w:val="2"/>
          <w:sz w:val="32"/>
          <w:szCs w:val="24"/>
          <w:lang w:val="en-US" w:eastAsia="zh-CN" w:bidi="ar"/>
        </w:rPr>
        <w:t>》，对符合条件的中小企业数字化改造项目按不超过项目实际投入金额的50%给予扶持，单个企业最高不超过40万元</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（二）资助的金额和方式</w:t>
      </w:r>
    </w:p>
    <w:p>
      <w:pPr>
        <w:keepNext w:val="0"/>
        <w:keepLines w:val="0"/>
        <w:pageBreakBefore w:val="0"/>
        <w:widowControl w:val="0"/>
        <w:suppressLineNumbers w:val="0"/>
        <w:wordWrap/>
        <w:overflowPunct/>
        <w:topLinePunct w:val="0"/>
        <w:bidi w:val="0"/>
        <w:spacing w:before="0" w:beforeAutospacing="0" w:afterAutospacing="0" w:line="560" w:lineRule="exact"/>
        <w:ind w:left="0" w:leftChars="0" w:right="0" w:firstLine="642"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snapToGrid/>
          <w:color w:val="auto"/>
          <w:kern w:val="2"/>
          <w:sz w:val="32"/>
          <w:szCs w:val="32"/>
          <w:highlight w:val="none"/>
          <w:shd w:val="clear" w:color="auto" w:fill="auto"/>
          <w:lang w:val="en-US" w:eastAsia="zh-CN" w:bidi="ar"/>
        </w:rPr>
        <w:t>1.</w:t>
      </w:r>
      <w:r>
        <w:rPr>
          <w:rFonts w:hint="eastAsia" w:ascii="Times New Roman" w:hAnsi="Times New Roman" w:eastAsia="仿宋_GB2312" w:cs="Times New Roman"/>
          <w:b/>
          <w:bCs/>
          <w:snapToGrid/>
          <w:color w:val="auto"/>
          <w:kern w:val="2"/>
          <w:sz w:val="32"/>
          <w:szCs w:val="24"/>
          <w:lang w:val="en-US" w:eastAsia="zh-CN" w:bidi="ar"/>
        </w:rPr>
        <w:t>资助金额：</w:t>
      </w:r>
      <w:r>
        <w:rPr>
          <w:rFonts w:hint="default" w:ascii="Times New Roman" w:hAnsi="Times New Roman" w:eastAsia="仿宋_GB2312" w:cs="Times New Roman"/>
          <w:snapToGrid/>
          <w:color w:val="auto"/>
          <w:kern w:val="2"/>
          <w:sz w:val="32"/>
          <w:szCs w:val="24"/>
          <w:lang w:val="en-US" w:eastAsia="zh-CN" w:bidi="ar"/>
        </w:rPr>
        <w:t>本奖励资金受</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财政下达年度资金预算控制。符合条件项目作为</w:t>
      </w:r>
      <w:r>
        <w:rPr>
          <w:rFonts w:hint="eastAsia" w:ascii="仿宋_GB2312" w:hAnsi="仿宋_GB2312" w:eastAsia="仿宋_GB2312" w:cs="仿宋_GB2312"/>
          <w:snapToGrid/>
          <w:color w:val="auto"/>
          <w:kern w:val="2"/>
          <w:sz w:val="32"/>
          <w:szCs w:val="24"/>
          <w:lang w:val="en-US" w:eastAsia="zh-CN" w:bidi="ar"/>
        </w:rPr>
        <w:t>2025</w:t>
      </w:r>
      <w:r>
        <w:rPr>
          <w:rFonts w:hint="default" w:ascii="Times New Roman" w:hAnsi="Times New Roman" w:eastAsia="仿宋_GB2312" w:cs="Times New Roman"/>
          <w:snapToGrid/>
          <w:color w:val="auto"/>
          <w:kern w:val="2"/>
          <w:sz w:val="32"/>
          <w:szCs w:val="24"/>
          <w:lang w:val="en-US" w:eastAsia="zh-CN" w:bidi="ar"/>
        </w:rPr>
        <w:t>年市级财政资金预算安排，根据</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财政下达资金预算，市</w:t>
      </w:r>
      <w:r>
        <w:rPr>
          <w:rFonts w:hint="eastAsia" w:ascii="Times New Roman" w:hAnsi="Times New Roman" w:eastAsia="仿宋_GB2312" w:cs="Times New Roman"/>
          <w:snapToGrid/>
          <w:color w:val="auto"/>
          <w:kern w:val="2"/>
          <w:sz w:val="32"/>
          <w:szCs w:val="24"/>
          <w:lang w:val="en-US" w:eastAsia="zh-CN" w:bidi="ar"/>
        </w:rPr>
        <w:t>中小企业服务局根</w:t>
      </w:r>
      <w:r>
        <w:rPr>
          <w:rFonts w:hint="default" w:ascii="Times New Roman" w:hAnsi="Times New Roman" w:eastAsia="仿宋_GB2312" w:cs="Times New Roman"/>
          <w:snapToGrid/>
          <w:color w:val="auto"/>
          <w:kern w:val="2"/>
          <w:sz w:val="32"/>
          <w:szCs w:val="24"/>
          <w:lang w:val="en-US" w:eastAsia="zh-CN" w:bidi="ar"/>
        </w:rPr>
        <w:t>据申报情况和预算安排对资助金额、支持比例和拨付进度等进行</w:t>
      </w:r>
      <w:r>
        <w:rPr>
          <w:rFonts w:hint="eastAsia" w:ascii="Times New Roman" w:hAnsi="Times New Roman" w:eastAsia="仿宋_GB2312" w:cs="Times New Roman"/>
          <w:snapToGrid/>
          <w:color w:val="auto"/>
          <w:kern w:val="2"/>
          <w:sz w:val="32"/>
          <w:szCs w:val="24"/>
          <w:lang w:val="en-US" w:eastAsia="zh-CN" w:bidi="ar"/>
        </w:rPr>
        <w:t>统筹安排</w:t>
      </w:r>
      <w:r>
        <w:rPr>
          <w:rFonts w:hint="default" w:ascii="Times New Roman" w:hAnsi="Times New Roman" w:eastAsia="仿宋_GB2312" w:cs="Times New Roman"/>
          <w:snapToGrid/>
          <w:color w:val="auto"/>
          <w:kern w:val="2"/>
          <w:sz w:val="32"/>
          <w:szCs w:val="24"/>
          <w:lang w:val="en-US" w:eastAsia="zh-CN" w:bidi="ar"/>
        </w:rPr>
        <w:t>。</w:t>
      </w:r>
    </w:p>
    <w:p>
      <w:pPr>
        <w:keepNext w:val="0"/>
        <w:keepLines w:val="0"/>
        <w:pageBreakBefore w:val="0"/>
        <w:widowControl/>
        <w:suppressLineNumbers w:val="0"/>
        <w:wordWrap/>
        <w:overflowPunct/>
        <w:topLinePunct w:val="0"/>
        <w:bidi w:val="0"/>
        <w:spacing w:before="0" w:beforeAutospacing="0" w:afterAutospacing="0" w:line="560" w:lineRule="exact"/>
        <w:ind w:left="0" w:leftChars="0" w:right="0" w:firstLine="642"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color w:val="auto"/>
          <w:kern w:val="2"/>
          <w:sz w:val="32"/>
          <w:szCs w:val="32"/>
          <w:highlight w:val="none"/>
          <w:shd w:val="clear" w:color="auto" w:fill="auto"/>
          <w:lang w:val="en-US" w:eastAsia="zh-CN" w:bidi="ar"/>
        </w:rPr>
        <w:t>2.资助方式：</w:t>
      </w:r>
      <w:r>
        <w:rPr>
          <w:rFonts w:hint="eastAsia" w:ascii="仿宋_GB2312" w:hAnsi="仿宋_GB2312" w:eastAsia="仿宋_GB2312" w:cs="仿宋_GB2312"/>
          <w:color w:val="auto"/>
          <w:kern w:val="2"/>
          <w:sz w:val="32"/>
          <w:szCs w:val="32"/>
          <w:highlight w:val="none"/>
          <w:shd w:val="clear" w:color="auto" w:fill="auto"/>
          <w:lang w:val="en-US" w:eastAsia="zh-CN" w:bidi="ar"/>
        </w:rPr>
        <w:t>事后资助。</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（三）</w:t>
      </w:r>
      <w:r>
        <w:rPr>
          <w:rFonts w:hint="eastAsia" w:ascii="楷体_GB2312" w:hAnsi="楷体_GB2312" w:eastAsia="楷体_GB2312" w:cs="楷体_GB2312"/>
          <w:b/>
          <w:bCs/>
          <w:color w:val="auto"/>
          <w:sz w:val="32"/>
          <w:szCs w:val="24"/>
          <w:lang w:bidi="ar"/>
        </w:rPr>
        <w:t>项目的财务投入核算指引</w:t>
      </w:r>
    </w:p>
    <w:p>
      <w:pPr>
        <w:pageBreakBefore w:val="0"/>
        <w:wordWrap/>
        <w:overflowPunct/>
        <w:topLinePunct w:val="0"/>
        <w:bidi w:val="0"/>
        <w:spacing w:line="560" w:lineRule="exact"/>
        <w:ind w:firstLine="640" w:firstLineChars="200"/>
        <w:jc w:val="both"/>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24"/>
          <w:lang w:val="en-US" w:eastAsia="zh-CN" w:bidi="ar"/>
        </w:rPr>
        <w:t>1.</w:t>
      </w:r>
      <w:r>
        <w:rPr>
          <w:rFonts w:hint="eastAsia" w:ascii="Times New Roman" w:hAnsi="Times New Roman" w:eastAsia="仿宋_GB2312" w:cs="Times New Roman"/>
          <w:color w:val="auto"/>
          <w:sz w:val="32"/>
          <w:szCs w:val="24"/>
          <w:lang w:bidi="ar"/>
        </w:rPr>
        <w:t>项目投入纳入核算的范围为企业与</w:t>
      </w:r>
      <w:r>
        <w:rPr>
          <w:rFonts w:hint="eastAsia" w:ascii="Times New Roman" w:hAnsi="Times New Roman" w:eastAsia="仿宋_GB2312" w:cs="Times New Roman"/>
          <w:color w:val="auto"/>
          <w:sz w:val="32"/>
          <w:szCs w:val="24"/>
          <w:lang w:val="en-US" w:eastAsia="zh-CN" w:bidi="ar"/>
        </w:rPr>
        <w:t>市中小企业服务局公示</w:t>
      </w:r>
      <w:r>
        <w:rPr>
          <w:rFonts w:hint="eastAsia" w:ascii="Times New Roman" w:hAnsi="Times New Roman" w:eastAsia="仿宋_GB2312" w:cs="Times New Roman"/>
          <w:color w:val="auto"/>
          <w:sz w:val="32"/>
          <w:szCs w:val="24"/>
          <w:lang w:bidi="ar"/>
        </w:rPr>
        <w:t>的数字化</w:t>
      </w:r>
      <w:r>
        <w:rPr>
          <w:rFonts w:hint="eastAsia" w:ascii="Times New Roman" w:hAnsi="Times New Roman" w:eastAsia="仿宋_GB2312" w:cs="Times New Roman"/>
          <w:color w:val="auto"/>
          <w:sz w:val="32"/>
          <w:szCs w:val="24"/>
          <w:lang w:val="en-US" w:eastAsia="zh-CN" w:bidi="ar"/>
        </w:rPr>
        <w:t>服务商</w:t>
      </w:r>
      <w:r>
        <w:rPr>
          <w:rFonts w:hint="eastAsia" w:ascii="Times New Roman" w:hAnsi="Times New Roman" w:eastAsia="仿宋_GB2312" w:cs="Times New Roman"/>
          <w:color w:val="auto"/>
          <w:sz w:val="32"/>
          <w:szCs w:val="24"/>
          <w:lang w:bidi="ar"/>
        </w:rPr>
        <w:t>签订合同，且</w:t>
      </w:r>
      <w:r>
        <w:rPr>
          <w:rFonts w:hint="eastAsia" w:ascii="Times New Roman" w:hAnsi="Times New Roman" w:eastAsia="仿宋_GB2312" w:cs="Times New Roman"/>
          <w:color w:val="auto"/>
          <w:sz w:val="32"/>
          <w:szCs w:val="24"/>
          <w:lang w:val="en-US" w:eastAsia="zh-CN" w:bidi="ar"/>
        </w:rPr>
        <w:t>产</w:t>
      </w:r>
      <w:r>
        <w:rPr>
          <w:rFonts w:hint="eastAsia" w:ascii="Times New Roman" w:hAnsi="Times New Roman" w:eastAsia="仿宋_GB2312" w:cs="Times New Roman"/>
          <w:color w:val="auto"/>
          <w:sz w:val="32"/>
          <w:szCs w:val="24"/>
          <w:highlight w:val="none"/>
          <w:lang w:val="en-US" w:eastAsia="zh-CN" w:bidi="ar"/>
        </w:rPr>
        <w:t>品</w:t>
      </w:r>
      <w:r>
        <w:rPr>
          <w:rFonts w:hint="eastAsia" w:ascii="Times New Roman" w:hAnsi="Times New Roman" w:eastAsia="仿宋_GB2312" w:cs="Times New Roman"/>
          <w:color w:val="auto"/>
          <w:sz w:val="32"/>
          <w:szCs w:val="24"/>
          <w:highlight w:val="none"/>
          <w:lang w:bidi="ar"/>
        </w:rPr>
        <w:t>已纳入</w:t>
      </w:r>
      <w:r>
        <w:rPr>
          <w:rFonts w:hint="eastAsia" w:ascii="Times New Roman" w:hAnsi="Times New Roman" w:eastAsia="仿宋_GB2312" w:cs="Times New Roman"/>
          <w:color w:val="auto"/>
          <w:sz w:val="32"/>
          <w:szCs w:val="24"/>
          <w:highlight w:val="none"/>
          <w:lang w:eastAsia="zh-CN" w:bidi="ar"/>
        </w:rPr>
        <w:t>市中小企业服务局公示的中小企业数字化转型城市试点数字化产品</w:t>
      </w:r>
      <w:r>
        <w:rPr>
          <w:rFonts w:hint="eastAsia" w:ascii="Times New Roman" w:hAnsi="Times New Roman" w:eastAsia="仿宋_GB2312" w:cs="Times New Roman"/>
          <w:color w:val="auto"/>
          <w:sz w:val="32"/>
          <w:szCs w:val="24"/>
          <w:highlight w:val="none"/>
          <w:lang w:val="en-US" w:eastAsia="zh-CN" w:bidi="ar"/>
        </w:rPr>
        <w:t>名录</w:t>
      </w:r>
      <w:r>
        <w:rPr>
          <w:rFonts w:hint="eastAsia" w:ascii="Times New Roman" w:hAnsi="Times New Roman" w:eastAsia="仿宋_GB2312" w:cs="Times New Roman"/>
          <w:color w:val="auto"/>
          <w:sz w:val="32"/>
          <w:szCs w:val="24"/>
          <w:highlight w:val="none"/>
          <w:lang w:bidi="ar"/>
        </w:rPr>
        <w:t>。</w:t>
      </w:r>
      <w:r>
        <w:rPr>
          <w:rFonts w:hint="eastAsia" w:ascii="Times New Roman" w:hAnsi="Times New Roman" w:eastAsia="仿宋_GB2312" w:cs="Times New Roman"/>
          <w:color w:val="auto"/>
          <w:sz w:val="32"/>
          <w:szCs w:val="24"/>
          <w:highlight w:val="none"/>
          <w:lang w:val="en-US" w:eastAsia="zh-CN" w:bidi="ar"/>
        </w:rPr>
        <w:t>如企业</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选</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择</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多家服务商产品</w:t>
      </w:r>
      <w:r>
        <w:rPr>
          <w:rFonts w:hint="eastAsia" w:ascii="Times New Roman" w:hAnsi="Times New Roman" w:eastAsia="仿宋_GB2312" w:cs="Times New Roman"/>
          <w:color w:val="auto"/>
          <w:sz w:val="32"/>
          <w:szCs w:val="24"/>
          <w:highlight w:val="none"/>
          <w:lang w:val="en-US" w:eastAsia="zh-CN" w:bidi="ar"/>
        </w:rPr>
        <w:t>，可根据实际需求与一家服务商签订合同或分别与各服务商单独签订合同。</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产品价格</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原则上不超过</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服务商</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备案</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价格。</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2.</w:t>
      </w:r>
      <w:r>
        <w:rPr>
          <w:rFonts w:hint="eastAsia" w:ascii="仿宋_GB2312" w:hAnsi="仿宋_GB2312" w:eastAsia="仿宋_GB2312" w:cs="仿宋_GB2312"/>
          <w:sz w:val="32"/>
          <w:szCs w:val="32"/>
        </w:rPr>
        <w:t>纳入项目投入核算的发票应与合同内容保持一致，并符合会计准则。根据合同</w:t>
      </w:r>
      <w:r>
        <w:rPr>
          <w:rFonts w:hint="eastAsia" w:ascii="仿宋_GB2312" w:hAnsi="仿宋_GB2312" w:eastAsia="仿宋_GB2312" w:cs="仿宋_GB2312"/>
          <w:sz w:val="32"/>
          <w:szCs w:val="32"/>
          <w:highlight w:val="none"/>
        </w:rPr>
        <w:t>硬件</w:t>
      </w:r>
      <w:r>
        <w:rPr>
          <w:rFonts w:hint="eastAsia" w:ascii="仿宋_GB2312" w:hAnsi="仿宋_GB2312" w:eastAsia="仿宋_GB2312" w:cs="仿宋_GB2312"/>
          <w:sz w:val="32"/>
          <w:szCs w:val="32"/>
        </w:rPr>
        <w:t>、软件和实施服务费对应税点开具发票。</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24"/>
          <w:lang w:val="en-US" w:eastAsia="zh-CN" w:bidi="ar"/>
        </w:rPr>
        <w:t>3.</w:t>
      </w:r>
      <w:r>
        <w:rPr>
          <w:rFonts w:hint="eastAsia" w:ascii="仿宋_GB2312" w:hAnsi="仿宋_GB2312" w:eastAsia="仿宋_GB2312" w:cs="仿宋_GB2312"/>
          <w:sz w:val="32"/>
          <w:szCs w:val="32"/>
        </w:rPr>
        <w:t>中小企业数字化改造项目中实施服务费用实际投入金额最高不超过其相应的软件实际投入金额，即实施服务费用投入与相应的软件费用投入按最高不超过1:1比例核算。</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4.</w:t>
      </w:r>
      <w:r>
        <w:rPr>
          <w:rFonts w:hint="eastAsia" w:ascii="仿宋_GB2312" w:hAnsi="仿宋_GB2312" w:eastAsia="仿宋_GB2312" w:cs="仿宋_GB2312"/>
          <w:sz w:val="32"/>
          <w:szCs w:val="32"/>
        </w:rPr>
        <w:t>发票、银行付款凭证等票据的交易双方须与合同交易双方保持一致。</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5.</w:t>
      </w:r>
      <w:r>
        <w:rPr>
          <w:rFonts w:hint="eastAsia" w:ascii="仿宋_GB2312" w:hAnsi="仿宋_GB2312" w:eastAsia="仿宋_GB2312" w:cs="仿宋_GB2312"/>
          <w:sz w:val="32"/>
          <w:szCs w:val="32"/>
          <w:highlight w:val="none"/>
        </w:rPr>
        <w:t>申报企业应规范项目资金支付管理，与项目有关的所有经费开支必须</w:t>
      </w:r>
      <w:r>
        <w:rPr>
          <w:rFonts w:hint="eastAsia" w:ascii="仿宋_GB2312" w:hAnsi="仿宋_GB2312" w:eastAsia="仿宋_GB2312" w:cs="仿宋_GB2312"/>
          <w:sz w:val="32"/>
          <w:szCs w:val="32"/>
          <w:highlight w:val="none"/>
          <w:lang w:val="en-US" w:eastAsia="zh-CN"/>
        </w:rPr>
        <w:t>结算到</w:t>
      </w:r>
      <w:r>
        <w:rPr>
          <w:rFonts w:hint="eastAsia" w:ascii="仿宋_GB2312" w:hAnsi="仿宋_GB2312" w:eastAsia="仿宋_GB2312" w:cs="仿宋_GB2312"/>
          <w:sz w:val="32"/>
          <w:szCs w:val="32"/>
          <w:highlight w:val="none"/>
        </w:rPr>
        <w:t>合同乙方的</w:t>
      </w:r>
      <w:r>
        <w:rPr>
          <w:rFonts w:hint="eastAsia" w:ascii="仿宋_GB2312" w:hAnsi="仿宋_GB2312" w:eastAsia="仿宋_GB2312" w:cs="仿宋_GB2312"/>
          <w:sz w:val="32"/>
          <w:szCs w:val="32"/>
          <w:highlight w:val="none"/>
          <w:lang w:val="en-US" w:eastAsia="zh-CN"/>
        </w:rPr>
        <w:t>指定</w:t>
      </w:r>
      <w:r>
        <w:rPr>
          <w:rFonts w:hint="eastAsia" w:ascii="仿宋_GB2312" w:hAnsi="仿宋_GB2312" w:eastAsia="仿宋_GB2312" w:cs="仿宋_GB2312"/>
          <w:sz w:val="32"/>
          <w:szCs w:val="32"/>
          <w:highlight w:val="none"/>
        </w:rPr>
        <w:t>开户银行，否则不予纳入项目投资额的核算范围。</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6.</w:t>
      </w:r>
      <w:r>
        <w:rPr>
          <w:rFonts w:hint="eastAsia" w:ascii="仿宋_GB2312" w:hAnsi="仿宋_GB2312" w:eastAsia="仿宋_GB2312" w:cs="仿宋_GB2312"/>
          <w:sz w:val="32"/>
          <w:szCs w:val="32"/>
        </w:rPr>
        <w:t>使用银行承兑汇票方式支付的投入，软硬件销售方收到支票的时间应在项目投入核算期内，并且须提供背书流程以及收到汇票的收据，如委托签收的，还须提供授权委托书；必要时，通过函证形式进行确认。</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7.</w:t>
      </w:r>
      <w:r>
        <w:rPr>
          <w:rFonts w:hint="eastAsia" w:ascii="仿宋_GB2312" w:hAnsi="仿宋_GB2312" w:eastAsia="仿宋_GB2312" w:cs="仿宋_GB2312"/>
          <w:sz w:val="32"/>
          <w:szCs w:val="32"/>
        </w:rPr>
        <w:t>项目支出须提供发票联，抵扣联不予认可。</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8.</w:t>
      </w:r>
      <w:r>
        <w:rPr>
          <w:rFonts w:hint="eastAsia" w:ascii="仿宋_GB2312" w:hAnsi="仿宋_GB2312" w:eastAsia="仿宋_GB2312" w:cs="仿宋_GB2312"/>
          <w:sz w:val="32"/>
          <w:szCs w:val="32"/>
          <w:highlight w:val="none"/>
        </w:rPr>
        <w:t>交易双方存在关联关系的情形，项目单位需提供佐证材料，对关联交易情况进行充分说明，包括与关联方发生产品服务交易的原因、价格公允性等，确保企业投入真实</w:t>
      </w:r>
      <w:r>
        <w:rPr>
          <w:rFonts w:hint="eastAsia" w:ascii="仿宋_GB2312" w:hAnsi="仿宋_GB2312" w:eastAsia="仿宋_GB2312" w:cs="仿宋_GB2312"/>
          <w:sz w:val="32"/>
          <w:szCs w:val="32"/>
          <w:highlight w:val="none"/>
          <w:lang w:val="en-US" w:eastAsia="zh-CN"/>
        </w:rPr>
        <w:t>准确</w:t>
      </w:r>
      <w:r>
        <w:rPr>
          <w:rFonts w:hint="eastAsia" w:ascii="仿宋_GB2312" w:hAnsi="仿宋_GB2312" w:eastAsia="仿宋_GB2312" w:cs="仿宋_GB2312"/>
          <w:sz w:val="32"/>
          <w:szCs w:val="32"/>
          <w:highlight w:val="none"/>
        </w:rPr>
        <w:t>。</w:t>
      </w:r>
    </w:p>
    <w:p>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仿宋_GB2312" w:cs="Times New Roman"/>
          <w:bCs/>
          <w:kern w:val="44"/>
          <w:sz w:val="32"/>
          <w:szCs w:val="44"/>
          <w:lang w:val="en-US" w:eastAsia="zh-CN" w:bidi="ar-SA"/>
        </w:rPr>
      </w:pPr>
      <w:r>
        <w:rPr>
          <w:rFonts w:hint="eastAsia" w:ascii="黑体" w:hAnsi="宋体" w:eastAsia="黑体" w:cs="黑体"/>
          <w:bCs/>
          <w:kern w:val="44"/>
          <w:sz w:val="32"/>
          <w:szCs w:val="32"/>
          <w:lang w:val="en-US" w:eastAsia="zh-CN" w:bidi="ar-SA"/>
        </w:rPr>
        <w:t>四、申报条件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kern w:val="0"/>
          <w:sz w:val="32"/>
          <w:szCs w:val="32"/>
          <w:lang w:bidi="ar"/>
        </w:rPr>
        <w:t>在深圳市（含深汕特别合作区，下同）</w:t>
      </w:r>
      <w:r>
        <w:rPr>
          <w:rFonts w:hint="eastAsia" w:ascii="仿宋_GB2312" w:hAnsi="仿宋_GB2312" w:eastAsia="仿宋_GB2312" w:cs="仿宋_GB2312"/>
          <w:sz w:val="32"/>
          <w:szCs w:val="32"/>
        </w:rPr>
        <w:t>注册，具有独立法人资格，属于</w:t>
      </w:r>
      <w:r>
        <w:rPr>
          <w:rFonts w:hint="eastAsia" w:ascii="仿宋_GB2312" w:hAnsi="仿宋_GB2312" w:eastAsia="仿宋_GB2312" w:cs="仿宋_GB2312"/>
          <w:sz w:val="32"/>
          <w:szCs w:val="32"/>
          <w:lang w:val="en-US" w:eastAsia="zh-CN"/>
        </w:rPr>
        <w:t>智能机器人、半导体与集成电路、精密仪器设备3</w:t>
      </w:r>
      <w:r>
        <w:rPr>
          <w:rFonts w:hint="eastAsia" w:ascii="仿宋_GB2312" w:hAnsi="仿宋_GB2312" w:eastAsia="仿宋_GB2312" w:cs="仿宋_GB2312"/>
          <w:sz w:val="32"/>
          <w:szCs w:val="32"/>
        </w:rPr>
        <w:t>个行业及关联配套产业范围的中小企业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中小企业数字化转型城市试点</w:t>
      </w:r>
      <w:r>
        <w:rPr>
          <w:rFonts w:hint="eastAsia" w:ascii="仿宋_GB2312" w:hAnsi="仿宋_GB2312" w:eastAsia="仿宋_GB2312" w:cs="仿宋_GB2312"/>
          <w:sz w:val="32"/>
          <w:szCs w:val="32"/>
          <w:lang w:val="en-US" w:eastAsia="zh-CN"/>
        </w:rPr>
        <w:t>拟改造企业名录（拟改造企业名录按照《深圳市中小企业服务局关于开展中小企业数字化转型城市试点拟改造企业意愿确认和增补工作的通知》和《深圳市中小企业服务局关于开展深圳市中小企业数字化转型城市试点拟改造企业意愿确认和第三批增补工作的通知》</w:t>
      </w:r>
      <w:r>
        <w:rPr>
          <w:rFonts w:hint="eastAsia" w:ascii="仿宋_GB2312" w:hAnsi="仿宋_GB2312" w:eastAsia="仿宋_GB2312" w:cs="仿宋_GB2312"/>
          <w:sz w:val="32"/>
          <w:szCs w:val="32"/>
          <w:highlight w:val="none"/>
          <w:lang w:val="en-US" w:eastAsia="zh-CN"/>
        </w:rPr>
        <w:t>申报程序</w:t>
      </w:r>
      <w:r>
        <w:rPr>
          <w:rFonts w:hint="eastAsia" w:ascii="仿宋_GB2312" w:hAnsi="仿宋_GB2312" w:eastAsia="仿宋_GB2312" w:cs="仿宋_GB2312"/>
          <w:sz w:val="32"/>
          <w:szCs w:val="32"/>
          <w:lang w:val="en-US" w:eastAsia="zh-CN"/>
        </w:rPr>
        <w:t>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b w:val="0"/>
          <w:bCs w:val="0"/>
          <w:color w:val="auto"/>
          <w:kern w:val="2"/>
          <w:sz w:val="32"/>
          <w:szCs w:val="32"/>
          <w:highlight w:val="none"/>
          <w:lang w:val="en-US" w:eastAsia="zh-CN" w:bidi="ar"/>
        </w:rPr>
        <w:t>未被列入严重失信主体名单。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）申报主体须自主选择市中小企业服务局公示的中小企业数字化转型城市试点数字化服务商及产品进行改造</w:t>
      </w:r>
      <w:r>
        <w:rPr>
          <w:rFonts w:hint="eastAsia" w:ascii="仿宋_GB2312" w:hAnsi="仿宋_GB2312" w:eastAsia="仿宋_GB2312" w:cs="仿宋_GB2312"/>
          <w:sz w:val="32"/>
          <w:szCs w:val="32"/>
          <w:highlight w:val="none"/>
          <w:lang w:val="en-US" w:eastAsia="zh-CN"/>
        </w:rPr>
        <w:t>，名单</w:t>
      </w:r>
      <w:r>
        <w:rPr>
          <w:rFonts w:hint="eastAsia" w:ascii="仿宋_GB2312" w:hAnsi="仿宋_GB2312" w:eastAsia="仿宋_GB2312" w:cs="仿宋_GB2312"/>
          <w:sz w:val="32"/>
          <w:szCs w:val="32"/>
          <w:highlight w:val="none"/>
          <w:lang w:eastAsia="zh-CN"/>
        </w:rPr>
        <w:t>可在</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lang w:eastAsia="zh-CN"/>
        </w:rPr>
        <w:t>市中小企业服务局</w:t>
      </w:r>
      <w:r>
        <w:rPr>
          <w:rFonts w:hint="eastAsia" w:ascii="仿宋_GB2312" w:hAnsi="仿宋_GB2312" w:eastAsia="仿宋_GB2312" w:cs="仿宋_GB2312"/>
          <w:sz w:val="32"/>
          <w:szCs w:val="32"/>
          <w:highlight w:val="none"/>
          <w:lang w:val="en-US" w:eastAsia="zh-CN"/>
        </w:rPr>
        <w:t>官网或“深i企”平台</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企业预付订阅式付费产品，从预付时间起算</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i w:val="0"/>
          <w:iCs w:val="0"/>
          <w:caps w:val="0"/>
          <w:color w:val="auto"/>
          <w:spacing w:val="0"/>
          <w:sz w:val="32"/>
          <w:szCs w:val="32"/>
          <w:shd w:val="clear" w:color="auto" w:fill="auto"/>
        </w:rPr>
        <w:t>使用期限</w:t>
      </w:r>
      <w:r>
        <w:rPr>
          <w:rFonts w:hint="eastAsia" w:ascii="仿宋_GB2312" w:hAnsi="仿宋_GB2312" w:eastAsia="仿宋_GB2312" w:cs="仿宋_GB2312"/>
          <w:i w:val="0"/>
          <w:iCs w:val="0"/>
          <w:caps w:val="0"/>
          <w:spacing w:val="0"/>
          <w:sz w:val="32"/>
          <w:szCs w:val="32"/>
          <w:shd w:val="clear" w:color="auto" w:fill="auto"/>
          <w:lang w:val="en-US" w:eastAsia="zh-CN"/>
        </w:rPr>
        <w:t>不超出</w:t>
      </w:r>
      <w:r>
        <w:rPr>
          <w:rFonts w:hint="eastAsia" w:ascii="仿宋_GB2312" w:hAnsi="仿宋_GB2312" w:eastAsia="仿宋_GB2312" w:cs="仿宋_GB2312"/>
          <w:i w:val="0"/>
          <w:iCs w:val="0"/>
          <w:caps w:val="0"/>
          <w:color w:val="auto"/>
          <w:spacing w:val="0"/>
          <w:sz w:val="32"/>
          <w:szCs w:val="32"/>
          <w:shd w:val="clear" w:color="auto" w:fill="auto"/>
        </w:rPr>
        <w:t>2025年12月31日，超出期限的服务费投入不纳入补贴范围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申报的</w:t>
      </w:r>
      <w:r>
        <w:rPr>
          <w:rFonts w:hint="eastAsia" w:ascii="仿宋_GB2312" w:hAnsi="仿宋_GB2312" w:eastAsia="仿宋_GB2312" w:cs="仿宋_GB2312"/>
          <w:sz w:val="32"/>
          <w:szCs w:val="32"/>
        </w:rPr>
        <w:t>项目实施地</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本批次申报项目投入核算期</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日（含）</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项目申报截止日期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申报项目须在此期限内实施并完工，</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合同签订日期、完工报告日期，发票和银行付款（银行承兑汇票）开具日期</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此期限内。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主体须</w:t>
      </w:r>
      <w:r>
        <w:rPr>
          <w:rFonts w:hint="eastAsia" w:ascii="仿宋_GB2312" w:hAnsi="仿宋_GB2312" w:eastAsia="仿宋_GB2312" w:cs="仿宋_GB2312"/>
          <w:sz w:val="32"/>
          <w:szCs w:val="32"/>
        </w:rPr>
        <w:t>参与市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局组织的数字化水平</w:t>
      </w:r>
      <w:r>
        <w:rPr>
          <w:rFonts w:hint="eastAsia" w:ascii="仿宋_GB2312" w:hAnsi="仿宋_GB2312" w:eastAsia="仿宋_GB2312" w:cs="仿宋_GB2312"/>
          <w:sz w:val="32"/>
          <w:szCs w:val="32"/>
          <w:lang w:val="en-US" w:eastAsia="zh-CN"/>
        </w:rPr>
        <w:t>评定工作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局将委托第三方评测机构免费为申报企业开展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（七）申报主体改造完成后达到数字化水平二级及以上。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highlight w:val="none"/>
          <w:lang w:val="en-US" w:eastAsia="zh-CN"/>
        </w:rPr>
        <w:t>配合第三方评测机构</w:t>
      </w:r>
      <w:r>
        <w:rPr>
          <w:rFonts w:hint="eastAsia" w:ascii="仿宋_GB2312" w:hAnsi="仿宋_GB2312" w:eastAsia="仿宋_GB2312" w:cs="仿宋_GB2312"/>
          <w:sz w:val="32"/>
          <w:szCs w:val="32"/>
          <w:highlight w:val="none"/>
        </w:rPr>
        <w:t>从创新、市场、提质、降本、增效、绿色、安全等方面</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不少于3项</w:t>
      </w:r>
      <w:r>
        <w:rPr>
          <w:rFonts w:hint="eastAsia" w:ascii="仿宋_GB2312" w:hAnsi="仿宋_GB2312" w:eastAsia="仿宋_GB2312" w:cs="仿宋_GB2312"/>
          <w:sz w:val="32"/>
          <w:szCs w:val="32"/>
          <w:highlight w:val="none"/>
          <w:lang w:val="en-US" w:eastAsia="zh-CN"/>
        </w:rPr>
        <w:t>数字化改造成效定量指标数据</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但不限于生产设备数字化率、</w:t>
      </w:r>
      <w:r>
        <w:rPr>
          <w:rFonts w:hint="eastAsia" w:ascii="仿宋_GB2312" w:hAnsi="仿宋_GB2312" w:eastAsia="仿宋_GB2312" w:cs="仿宋_GB2312"/>
          <w:sz w:val="32"/>
          <w:szCs w:val="32"/>
          <w:highlight w:val="none"/>
        </w:rPr>
        <w:t>生产设备联网率、关键工序数控化率、数字化培训覆盖人数等数字化类指标，以及</w:t>
      </w:r>
      <w:r>
        <w:rPr>
          <w:rFonts w:hint="eastAsia" w:ascii="仿宋_GB2312" w:hAnsi="仿宋_GB2312" w:eastAsia="仿宋_GB2312" w:cs="仿宋_GB2312"/>
          <w:sz w:val="32"/>
          <w:szCs w:val="32"/>
          <w:highlight w:val="none"/>
          <w:lang w:val="en-US" w:eastAsia="zh-CN"/>
        </w:rPr>
        <w:t>改造前后</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产品合格率、</w:t>
      </w:r>
      <w:r>
        <w:rPr>
          <w:rFonts w:hint="eastAsia" w:ascii="仿宋_GB2312" w:hAnsi="仿宋_GB2312" w:eastAsia="仿宋_GB2312" w:cs="仿宋_GB2312"/>
          <w:sz w:val="32"/>
          <w:szCs w:val="32"/>
          <w:highlight w:val="none"/>
          <w:lang w:val="en-US" w:eastAsia="zh-CN"/>
        </w:rPr>
        <w:t>改造前后百元营收综合能耗变化情况、对比上年度人均营业收入变化情况、对比上年度百元营收成本变化情况、</w:t>
      </w:r>
      <w:r>
        <w:rPr>
          <w:rFonts w:hint="eastAsia" w:ascii="仿宋_GB2312" w:hAnsi="仿宋_GB2312" w:eastAsia="仿宋_GB2312" w:cs="仿宋_GB2312"/>
          <w:sz w:val="32"/>
          <w:szCs w:val="32"/>
          <w:highlight w:val="none"/>
        </w:rPr>
        <w:t>库存周转率、生产计划达成率、准时交货率、产能利用率等效益类指标。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pPr>
        <w:pageBreakBefore w:val="0"/>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rPr>
        <w:t>深圳市中小企业数字化转型城市试点中小企业数字化改造</w:t>
      </w:r>
      <w:r>
        <w:rPr>
          <w:rFonts w:hint="eastAsia" w:ascii="仿宋_GB2312" w:hAnsi="仿宋_GB2312" w:eastAsia="仿宋_GB2312" w:cs="仿宋_GB2312"/>
          <w:sz w:val="32"/>
          <w:szCs w:val="32"/>
          <w:highlight w:val="none"/>
          <w:lang w:val="en-US" w:eastAsia="zh-CN"/>
        </w:rPr>
        <w:t>专项支持</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color w:val="auto"/>
          <w:sz w:val="32"/>
          <w:szCs w:val="32"/>
          <w:highlight w:val="none"/>
          <w:shd w:val="clear" w:color="auto" w:fill="FFFFFF"/>
          <w:lang w:val="en-US" w:eastAsia="zh-CN"/>
        </w:rPr>
        <w:t>申请书》（在“深圳市中小企业数字化转型</w:t>
      </w:r>
      <w:r>
        <w:rPr>
          <w:rFonts w:hint="eastAsia" w:ascii="仿宋_GB2312" w:hAnsi="仿宋_GB2312" w:eastAsia="仿宋_GB2312" w:cs="仿宋_GB2312"/>
          <w:color w:val="auto"/>
          <w:sz w:val="32"/>
          <w:szCs w:val="32"/>
          <w:highlight w:val="none"/>
          <w:lang w:val="en-US" w:eastAsia="zh-CN"/>
        </w:rPr>
        <w:t>公共服务平台”在线填报并</w:t>
      </w:r>
      <w:r>
        <w:rPr>
          <w:rFonts w:hint="eastAsia" w:ascii="仿宋_GB2312" w:hAnsi="仿宋_GB2312" w:eastAsia="仿宋_GB2312" w:cs="仿宋_GB2312"/>
          <w:color w:val="auto"/>
          <w:sz w:val="32"/>
          <w:szCs w:val="32"/>
          <w:highlight w:val="none"/>
          <w:shd w:val="clear" w:color="auto" w:fill="FFFFFF"/>
          <w:lang w:val="en-US" w:eastAsia="zh-CN"/>
        </w:rPr>
        <w:t>下载）</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（二）企业</w:t>
      </w:r>
      <w:r>
        <w:rPr>
          <w:rFonts w:hint="eastAsia" w:ascii="仿宋_GB2312" w:hAnsi="仿宋_GB2312" w:eastAsia="仿宋_GB2312" w:cs="仿宋_GB2312"/>
          <w:sz w:val="32"/>
          <w:szCs w:val="32"/>
          <w:highlight w:val="none"/>
        </w:rPr>
        <w:t>营业执照的复印件</w:t>
      </w:r>
      <w:r>
        <w:rPr>
          <w:rFonts w:hint="eastAsia" w:ascii="仿宋_GB2312" w:hAnsi="仿宋_GB2312" w:eastAsia="仿宋_GB2312" w:cs="仿宋_GB2312"/>
          <w:sz w:val="32"/>
          <w:szCs w:val="32"/>
          <w:highlight w:val="none"/>
          <w:lang w:val="en-US" w:eastAsia="zh-CN"/>
        </w:rPr>
        <w:t>及上个月社保缴纳记录（社保系统打印）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三）申请人在职证明，可提交个人上个月社保缴纳记录（社保系统打印件）、与现单位签订的劳务合同（关键页复印件）或返聘证书（如适用）等任一有效材料作为证明；</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企业公共信用信息报告（在深圳信用网下载国家标准版的公共信用信息报告）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）上年度财务审计报告</w:t>
      </w:r>
      <w:r>
        <w:rPr>
          <w:rFonts w:hint="eastAsia" w:ascii="仿宋_GB2312" w:hAnsi="仿宋_GB2312" w:eastAsia="仿宋_GB2312" w:cs="仿宋_GB2312"/>
          <w:sz w:val="32"/>
          <w:szCs w:val="32"/>
          <w:highlight w:val="none"/>
          <w:lang w:val="en-US" w:eastAsia="zh-CN"/>
        </w:rPr>
        <w:t>或专项审计报告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）项目投入明细表（详见附件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）项目完工确认材料</w:t>
      </w:r>
      <w:r>
        <w:rPr>
          <w:rFonts w:hint="eastAsia" w:ascii="仿宋_GB2312" w:hAnsi="仿宋_GB2312" w:eastAsia="仿宋_GB2312" w:cs="仿宋_GB2312"/>
          <w:sz w:val="32"/>
          <w:szCs w:val="32"/>
          <w:highlight w:val="none"/>
          <w:lang w:eastAsia="zh-CN"/>
        </w:rPr>
        <w:t>，包括但不限于项目合同、报价单、验收单、发票、付款凭证、数字化水平等级证明、改造成效</w:t>
      </w:r>
      <w:r>
        <w:rPr>
          <w:rFonts w:hint="eastAsia" w:ascii="仿宋_GB2312" w:hAnsi="仿宋_GB2312" w:eastAsia="仿宋_GB2312" w:cs="仿宋_GB2312"/>
          <w:sz w:val="32"/>
          <w:szCs w:val="32"/>
          <w:highlight w:val="none"/>
          <w:lang w:val="en-US" w:eastAsia="zh-CN"/>
        </w:rPr>
        <w:t>完成情况、</w:t>
      </w:r>
      <w:r>
        <w:rPr>
          <w:rFonts w:hint="eastAsia" w:ascii="仿宋_GB2312" w:hAnsi="仿宋_GB2312" w:eastAsia="仿宋_GB2312" w:cs="仿宋_GB2312"/>
          <w:sz w:val="32"/>
          <w:szCs w:val="32"/>
          <w:highlight w:val="none"/>
          <w:lang w:eastAsia="zh-CN"/>
        </w:rPr>
        <w:t>企业现场和数字化设备照片、数字化系统运行截图等相关佐证材料；</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）与项目投入明细表对应的合同、发票以及银行付款凭证（银行承兑汇票）的复印件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highlight w:val="none"/>
          <w:lang w:val="en-US" w:eastAsia="zh-CN"/>
        </w:rPr>
        <w:t>明细表顺序整理排序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shd w:val="clear" w:color="auto" w:fill="auto"/>
        </w:rPr>
        <w:t>服务合同里要清晰列出企业购买的产品名称、</w:t>
      </w:r>
      <w:r>
        <w:rPr>
          <w:rFonts w:hint="eastAsia" w:ascii="仿宋_GB2312" w:hAnsi="仿宋_GB2312" w:eastAsia="仿宋_GB2312" w:cs="仿宋_GB2312"/>
          <w:i w:val="0"/>
          <w:iCs w:val="0"/>
          <w:caps w:val="0"/>
          <w:color w:val="auto"/>
          <w:spacing w:val="0"/>
          <w:sz w:val="32"/>
          <w:szCs w:val="32"/>
          <w:shd w:val="clear" w:color="auto" w:fill="auto"/>
          <w:lang w:val="en-US" w:eastAsia="zh-CN"/>
        </w:rPr>
        <w:t>产品ID</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实际交易价格等重点信息</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sz w:val="32"/>
          <w:szCs w:val="32"/>
          <w:highlight w:val="none"/>
          <w:lang w:val="en-US" w:eastAsia="zh-CN"/>
        </w:rPr>
        <w:t>合同须包含内容详见附件3；</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涉及使用电子发票的，企业需按要求补充票据使用承诺函</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eastAsia="zh-CN"/>
        </w:rPr>
        <w:t>）深圳市中小企业数字化服务商满意度评价表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盖章扫描件（</w:t>
      </w:r>
      <w:r>
        <w:rPr>
          <w:rFonts w:hint="eastAsia" w:ascii="仿宋_GB2312" w:hAnsi="仿宋_GB2312" w:eastAsia="仿宋_GB2312" w:cs="仿宋_GB2312"/>
          <w:sz w:val="32"/>
          <w:szCs w:val="32"/>
          <w:highlight w:val="none"/>
          <w:lang w:val="en-US" w:eastAsia="zh-CN"/>
        </w:rPr>
        <w:t>详见附件5</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关于项目实施情况的其他材料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以上材料均需加盖</w:t>
      </w:r>
      <w:r>
        <w:rPr>
          <w:rFonts w:hint="eastAsia" w:ascii="仿宋_GB2312" w:hAnsi="仿宋_GB2312" w:eastAsia="仿宋_GB2312" w:cs="仿宋_GB2312"/>
          <w:b/>
          <w:bCs/>
          <w:color w:val="000000"/>
          <w:sz w:val="32"/>
          <w:szCs w:val="32"/>
          <w:highlight w:val="none"/>
          <w:lang w:eastAsia="zh-CN"/>
        </w:rPr>
        <w:t>申报主体</w:t>
      </w:r>
      <w:r>
        <w:rPr>
          <w:rFonts w:hint="eastAsia" w:ascii="仿宋_GB2312" w:hAnsi="仿宋_GB2312" w:eastAsia="仿宋_GB2312" w:cs="仿宋_GB2312"/>
          <w:b/>
          <w:bCs/>
          <w:color w:val="000000"/>
          <w:sz w:val="32"/>
          <w:szCs w:val="32"/>
          <w:highlight w:val="none"/>
        </w:rPr>
        <w:t>公章，多页的还需加盖骑缝印章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w:t>
      </w:r>
      <w:r>
        <w:rPr>
          <w:rFonts w:hint="eastAsia" w:ascii="仿宋_GB2312" w:hAnsi="仿宋_GB2312" w:eastAsia="仿宋_GB2312" w:cs="仿宋_GB2312"/>
          <w:b/>
          <w:bCs/>
          <w:color w:val="000000"/>
          <w:sz w:val="32"/>
          <w:szCs w:val="32"/>
        </w:rPr>
        <w:t>，A4纸（特殊规定的除外）正反面打印/复印，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p>
    <w:p>
      <w:pPr>
        <w:pageBreakBefore w:val="0"/>
        <w:wordWrap/>
        <w:overflowPunct/>
        <w:topLinePunct w:val="0"/>
        <w:autoSpaceDE w:val="0"/>
        <w:bidi w:val="0"/>
        <w:spacing w:line="560" w:lineRule="exact"/>
        <w:ind w:firstLine="640" w:firstLineChars="200"/>
        <w:contextualSpacing/>
        <w:jc w:val="both"/>
        <w:outlineLvl w:val="0"/>
        <w:rPr>
          <w:rFonts w:ascii="黑体" w:hAnsi="黑体" w:eastAsia="黑体" w:cs="仿宋_GB2312"/>
          <w:bCs/>
          <w:sz w:val="32"/>
          <w:szCs w:val="32"/>
          <w:highlight w:val="none"/>
        </w:rPr>
      </w:pPr>
      <w:r>
        <w:rPr>
          <w:rFonts w:hint="eastAsia" w:ascii="黑体" w:hAnsi="黑体" w:eastAsia="黑体" w:cs="仿宋_GB2312"/>
          <w:bCs/>
          <w:sz w:val="32"/>
          <w:szCs w:val="32"/>
          <w:highlight w:val="none"/>
          <w:lang w:eastAsia="zh-CN"/>
        </w:rPr>
        <w:t>六、</w:t>
      </w:r>
      <w:r>
        <w:rPr>
          <w:rFonts w:hint="eastAsia" w:ascii="黑体" w:hAnsi="黑体" w:eastAsia="黑体" w:cs="仿宋_GB2312"/>
          <w:bCs/>
          <w:sz w:val="32"/>
          <w:szCs w:val="32"/>
          <w:highlight w:val="none"/>
          <w:lang w:val="en-US" w:eastAsia="zh-CN"/>
        </w:rPr>
        <w:t>工作流程</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b w:val="0"/>
          <w:bCs w:val="0"/>
          <w:color w:val="auto"/>
          <w:sz w:val="32"/>
          <w:szCs w:val="32"/>
          <w:highlight w:val="none"/>
          <w:lang w:bidi="ar"/>
        </w:rPr>
      </w:pPr>
      <w:r>
        <w:rPr>
          <w:rFonts w:hint="eastAsia" w:ascii="楷体_GB2312" w:hAnsi="楷体_GB2312" w:eastAsia="楷体_GB2312" w:cs="楷体_GB2312"/>
          <w:b/>
          <w:bCs/>
          <w:color w:val="auto"/>
          <w:sz w:val="32"/>
          <w:lang w:bidi="ar"/>
        </w:rPr>
        <w:t>（一）</w:t>
      </w:r>
      <w:r>
        <w:rPr>
          <w:rFonts w:hint="eastAsia" w:ascii="楷体_GB2312" w:hAnsi="楷体_GB2312" w:eastAsia="楷体_GB2312" w:cs="楷体_GB2312"/>
          <w:b/>
          <w:bCs/>
          <w:i w:val="0"/>
          <w:iCs w:val="0"/>
          <w:caps w:val="0"/>
          <w:color w:val="auto"/>
          <w:spacing w:val="0"/>
          <w:sz w:val="32"/>
          <w:szCs w:val="24"/>
          <w:shd w:val="clear" w:color="auto" w:fill="auto"/>
          <w:lang w:bidi="ar"/>
        </w:rPr>
        <w:t>自愿申报。</w:t>
      </w:r>
      <w:r>
        <w:rPr>
          <w:rFonts w:hint="eastAsia" w:ascii="仿宋_GB2312" w:hAnsi="仿宋_GB2312" w:eastAsia="仿宋_GB2312" w:cs="仿宋_GB2312"/>
          <w:color w:val="auto"/>
          <w:sz w:val="32"/>
          <w:szCs w:val="32"/>
          <w:highlight w:val="none"/>
          <w:lang w:eastAsia="zh-CN"/>
        </w:rPr>
        <w:t>符合条件的企业，按要求登陆“深圳市中小企业数字化转型公共服务平台”网站（网页路径：深i企"平台(https://www.szsiq.com)-“数字化转型”服务专区-企业建档-补贴申请管理），在线填报申请书并提交申报材料（详见第五条“申报材料”）。</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val="en-US" w:eastAsia="zh-CN" w:bidi="ar"/>
        </w:rPr>
        <w:t>二</w:t>
      </w: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bidi="ar"/>
        </w:rPr>
        <w:t>形式审查。</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市中小企业服务局对申报项目进行形式审查、初审，重点审查申报企业是否具备申请资格、有关申报材料是否真实有效等。</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楷体_GB2312" w:hAnsi="楷体_GB2312" w:eastAsia="楷体_GB2312" w:cs="楷体_GB2312"/>
          <w:b/>
          <w:bCs/>
          <w:i w:val="0"/>
          <w:iCs w:val="0"/>
          <w:caps w:val="0"/>
          <w:color w:val="auto"/>
          <w:spacing w:val="0"/>
          <w:sz w:val="32"/>
          <w:szCs w:val="24"/>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（三）专家评审。</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市中小企业服务局组织专家进行验收评审。根据工作需要可以委托第三方专业服务机构开展专项审计，并出具专项审计报告。</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（四）征求意见。</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结合形式审查、专家评审、专项审计等结果，提出项目初步审核意见和拟定资助计划，可根据需要，向有关部门征求意见。</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b/>
          <w:bCs/>
          <w:color w:val="000000"/>
          <w:sz w:val="32"/>
          <w:szCs w:val="32"/>
          <w:highlight w:val="none"/>
        </w:rPr>
      </w:pPr>
      <w:r>
        <w:rPr>
          <w:rFonts w:hint="eastAsia" w:ascii="楷体_GB2312" w:hAnsi="楷体_GB2312" w:eastAsia="楷体_GB2312" w:cs="楷体_GB2312"/>
          <w:b/>
          <w:bCs/>
          <w:i w:val="0"/>
          <w:iCs w:val="0"/>
          <w:caps w:val="0"/>
          <w:color w:val="auto"/>
          <w:spacing w:val="0"/>
          <w:sz w:val="32"/>
          <w:szCs w:val="24"/>
          <w:shd w:val="clear" w:color="auto" w:fill="auto"/>
          <w:lang w:bidi="ar"/>
        </w:rPr>
        <w:t>（五）社会公示。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市中小企业服务局按有关规定进行资助计划公示，公示期不少于5个工作日</w:t>
      </w:r>
      <w:r>
        <w:rPr>
          <w:rFonts w:hint="eastAsia" w:ascii="仿宋_GB2312" w:hAnsi="宋体" w:eastAsia="仿宋_GB2312" w:cs="Times New Roman"/>
          <w:sz w:val="32"/>
          <w:szCs w:val="32"/>
          <w:highlight w:val="none"/>
        </w:rPr>
        <w:t>。</w:t>
      </w:r>
    </w:p>
    <w:p>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七、申报时间</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2" w:firstLineChars="200"/>
        <w:jc w:val="both"/>
        <w:textAlignment w:val="baseline"/>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1.网络填报受理时间：</w:t>
      </w:r>
      <w:r>
        <w:rPr>
          <w:rFonts w:hint="eastAsia" w:ascii="仿宋_GB2312" w:hAnsi="仿宋_GB2312" w:eastAsia="仿宋_GB2312" w:cs="仿宋_GB2312"/>
          <w:snapToGrid/>
          <w:color w:val="auto"/>
          <w:kern w:val="2"/>
          <w:sz w:val="32"/>
          <w:szCs w:val="32"/>
          <w:highlight w:val="none"/>
          <w:lang w:val="en-US" w:eastAsia="zh-CN" w:bidi="ar-SA"/>
        </w:rPr>
        <w:t>本项目为分批次专项支持项目，第二批网络填报受理时间为2025年7月23日至2025年8月1日18时。申报主体需在线提交项目申请书及配套申报材料，并经过材料齐全性和内容合规性的形式预审。第三批次网络填报受理时间预计为2025年10月，具体时间以市中小企业服务局发布申报通知为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每批次网络填报受理截止后，不再受理新提交项目的申请，网络填报截止前已提交后又被退回修改的，可继续提交在线预审，但提交时间最迟不能超过书面材料受理的截止时间。所有项目均需在线预审通过后，方可邮寄或递交纸质申请材料至我局。项目申请书需在线打印。）</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outlineLvl w:val="9"/>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2.书面材料受理时间：</w:t>
      </w:r>
      <w:r>
        <w:rPr>
          <w:rFonts w:hint="eastAsia" w:ascii="仿宋_GB2312" w:hAnsi="仿宋_GB2312" w:eastAsia="仿宋_GB2312" w:cs="仿宋_GB2312"/>
          <w:snapToGrid/>
          <w:color w:val="auto"/>
          <w:kern w:val="2"/>
          <w:sz w:val="32"/>
          <w:szCs w:val="32"/>
          <w:highlight w:val="none"/>
          <w:lang w:val="en-US" w:eastAsia="zh-CN" w:bidi="ar-SA"/>
        </w:rPr>
        <w:t>第二批次申报时间为2025年7月23日至2025年8月4日18时。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2" w:firstLineChars="200"/>
        <w:jc w:val="both"/>
        <w:textAlignment w:val="baseline"/>
        <w:outlineLvl w:val="9"/>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sz w:val="32"/>
          <w:szCs w:val="32"/>
          <w:highlight w:val="none"/>
          <w:lang w:val="en-US" w:eastAsia="zh-CN"/>
        </w:rPr>
        <w:t>收件信息：</w:t>
      </w:r>
      <w:r>
        <w:rPr>
          <w:rFonts w:hint="eastAsia" w:ascii="仿宋_GB2312" w:hAnsi="仿宋_GB2312" w:eastAsia="仿宋_GB2312" w:cs="仿宋_GB2312"/>
          <w:snapToGrid/>
          <w:color w:val="auto"/>
          <w:kern w:val="2"/>
          <w:sz w:val="32"/>
          <w:szCs w:val="32"/>
          <w:highlight w:val="none"/>
          <w:lang w:val="en-US" w:eastAsia="zh-CN" w:bidi="ar-SA"/>
        </w:rPr>
        <w:t>深圳市福田区深南中路6009号绿景NEO大厦B座10层1016室，许女士、周女士，电话</w:t>
      </w:r>
      <w:r>
        <w:rPr>
          <w:rFonts w:hint="eastAsia" w:ascii="仿宋_GB2312" w:hAnsi="宋体" w:eastAsia="仿宋_GB2312" w:cs="Times New Roman"/>
          <w:sz w:val="32"/>
          <w:szCs w:val="32"/>
          <w:highlight w:val="none"/>
        </w:rPr>
        <w:t>0755-</w:t>
      </w:r>
      <w:r>
        <w:rPr>
          <w:rFonts w:hint="eastAsia" w:ascii="仿宋_GB2312" w:hAnsi="宋体" w:eastAsia="仿宋_GB2312" w:cs="Times New Roman"/>
          <w:sz w:val="32"/>
          <w:szCs w:val="32"/>
          <w:highlight w:val="none"/>
          <w:lang w:val="en-US" w:eastAsia="zh-CN"/>
        </w:rPr>
        <w:t>83051682、82975806。</w:t>
      </w:r>
    </w:p>
    <w:p>
      <w:pPr>
        <w:jc w:val="both"/>
      </w:pPr>
    </w:p>
    <w:p>
      <w:pPr>
        <w:jc w:val="both"/>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5F9a/OQIAAHEEAAAOAAAAAAAA&#10;AAEAIAAAADUBAABkcnMvZTJvRG9jLnhtbFBLBQYAAAAABgAGAFkBAADg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5FFA"/>
    <w:rsid w:val="040A4CB9"/>
    <w:rsid w:val="049270E4"/>
    <w:rsid w:val="06150CDC"/>
    <w:rsid w:val="099A40B3"/>
    <w:rsid w:val="173C2C68"/>
    <w:rsid w:val="25D24FC7"/>
    <w:rsid w:val="2BE045F4"/>
    <w:rsid w:val="39C065D9"/>
    <w:rsid w:val="3DD756B9"/>
    <w:rsid w:val="434E1532"/>
    <w:rsid w:val="53FA34C3"/>
    <w:rsid w:val="574B501F"/>
    <w:rsid w:val="62C508F2"/>
    <w:rsid w:val="6D0B6450"/>
    <w:rsid w:val="6EF040F0"/>
    <w:rsid w:val="6F1E0C41"/>
    <w:rsid w:val="70BB3B9C"/>
    <w:rsid w:val="74C45FFA"/>
    <w:rsid w:val="79B43964"/>
    <w:rsid w:val="7E340E8C"/>
    <w:rsid w:val="FDAC8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unhideWhenUsed/>
    <w:qFormat/>
    <w:uiPriority w:val="99"/>
    <w:pPr>
      <w:ind w:firstLine="0" w:firstLineChars="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3344</Words>
  <Characters>3464</Characters>
  <Lines>0</Lines>
  <Paragraphs>0</Paragraphs>
  <TotalTime>8</TotalTime>
  <ScaleCrop>false</ScaleCrop>
  <LinksUpToDate>false</LinksUpToDate>
  <CharactersWithSpaces>3466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2025-03-17T15:41:00Z</dcterms:created>
  <dc:creator>lin彤</dc:creator>
  <cp:lastModifiedBy>zhaoxin</cp:lastModifiedBy>
  <dcterms:modified xsi:type="dcterms:W3CDTF">2025-07-22T18:52:06Z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C4ACE16980404A419FF61A5AEA8DDFB3_13</vt:lpwstr>
  </property>
  <property fmtid="{D5CDD505-2E9C-101B-9397-08002B2CF9AE}" pid="4" name="KSOTemplateDocerSaveRecord">
    <vt:lpwstr>eyJoZGlkIjoiNzljZjU4MjA2NzhjMmJmNTA3NTcwMGE2NDFlMDUxYjEiLCJ1c2VySWQiOiI1NTM1OTU4MzYifQ==</vt:lpwstr>
  </property>
</Properties>
</file>